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0" w:after="120"/>
        <w:rPr/>
      </w:pPr>
    </w:p>
    <w:p>
      <w:pPr>
        <w:pStyle w:val="style0"/>
        <w:spacing w:before="0" w:after="60"/>
        <w:jc w:val="center"/>
        <w:rPr/>
      </w:pPr>
      <w:r>
        <w:rPr>
          <w:rFonts w:ascii="Arial" w:cs="Arial" w:eastAsia="Arial" w:hAnsi="Arial"/>
          <w:b/>
          <w:bCs/>
          <w:color w:val="666666"/>
          <w:sz w:val="20"/>
          <w:szCs w:val="20"/>
        </w:rPr>
        <w:t>ASSOCIATION COMMUNAUTAIRE DE YAOUNDÉ VI</w:t>
      </w:r>
    </w:p>
    <w:p>
      <w:pPr>
        <w:pStyle w:val="style0"/>
        <w:pBdr>
          <w:bottom w:val="single" w:sz="6" w:space="2" w:color="d4a017"/>
        </w:pBdr>
        <w:spacing w:before="0" w:after="220"/>
        <w:jc w:val="center"/>
        <w:rPr/>
      </w:pPr>
      <w:r>
        <w:rPr>
          <w:rFonts w:ascii="Arial" w:cs="Arial" w:eastAsia="Arial" w:hAnsi="Arial"/>
          <w:color w:val="666666"/>
          <w:sz w:val="19"/>
          <w:szCs w:val="19"/>
        </w:rPr>
        <w:t>Commune de Yaoundé VI  —  Région du Centre  —  Cameroun</w:t>
      </w:r>
    </w:p>
    <w:p>
      <w:pPr>
        <w:pStyle w:val="style0"/>
        <w:spacing w:before="0" w:after="200"/>
        <w:rPr/>
      </w:pPr>
    </w:p>
    <w:p>
      <w:pPr>
        <w:pStyle w:val="style0"/>
        <w:spacing w:before="0" w:after="80"/>
        <w:jc w:val="center"/>
        <w:rPr/>
      </w:pPr>
      <w:r>
        <w:rPr>
          <w:rFonts w:ascii="Arial" w:cs="Arial" w:eastAsia="Arial" w:hAnsi="Arial"/>
          <w:b/>
          <w:bCs/>
          <w:color w:val="1b6b3a"/>
          <w:sz w:val="40"/>
          <w:szCs w:val="40"/>
        </w:rPr>
        <w:t>PROJET COMMUNAUTAIRE</w:t>
      </w:r>
    </w:p>
    <w:p>
      <w:pPr>
        <w:pStyle w:val="style0"/>
        <w:spacing w:before="0" w:after="60"/>
        <w:jc w:val="center"/>
        <w:rPr/>
      </w:pPr>
      <w:r>
        <w:rPr>
          <w:rFonts w:ascii="Arial" w:cs="Arial" w:eastAsia="Arial" w:hAnsi="Arial"/>
          <w:b/>
          <w:bCs/>
          <w:color w:val="d4a017"/>
          <w:sz w:val="26"/>
          <w:szCs w:val="26"/>
        </w:rPr>
        <w:t>Jeunesse  •  Autonomisation  •  Développement</w:t>
      </w:r>
    </w:p>
    <w:p>
      <w:pPr>
        <w:pStyle w:val="style0"/>
        <w:spacing w:before="0" w:after="300"/>
        <w:jc w:val="center"/>
        <w:rPr/>
      </w:pPr>
      <w:r>
        <w:rPr>
          <w:rFonts w:ascii="Arial" w:cs="Arial" w:eastAsia="Arial" w:hAnsi="Arial"/>
          <w:i/>
          <w:iCs/>
          <w:color w:val="666666"/>
          <w:sz w:val="22"/>
          <w:szCs w:val="22"/>
        </w:rPr>
        <w:t>Pour une jeunesse autonome, formée et actrice de son avenir</w:t>
      </w:r>
    </w:p>
    <w:p>
      <w:pPr>
        <w:pStyle w:val="style0"/>
        <w:spacing w:before="0" w:after="260"/>
        <w:rPr/>
      </w:pPr>
    </w:p>
    <w:p>
      <w:pPr>
        <w:pStyle w:val="style0"/>
        <w:spacing w:before="0" w:after="60"/>
        <w:jc w:val="right"/>
        <w:rPr/>
      </w:pPr>
      <w:r>
        <w:rPr>
          <w:rFonts w:ascii="Arial" w:cs="Arial" w:eastAsia="Arial" w:hAnsi="Arial"/>
          <w:color w:val="666666"/>
          <w:sz w:val="20"/>
          <w:szCs w:val="20"/>
        </w:rPr>
        <w:t>Présenté par :</w:t>
      </w:r>
    </w:p>
    <w:p>
      <w:pPr>
        <w:pStyle w:val="style0"/>
        <w:spacing w:before="0" w:after="40"/>
        <w:jc w:val="right"/>
        <w:rPr/>
      </w:pPr>
      <w:r>
        <w:rPr>
          <w:rFonts w:ascii="Arial" w:cs="Arial" w:eastAsia="Arial" w:hAnsi="Arial"/>
          <w:b/>
          <w:bCs/>
          <w:color w:val="1b6b3a"/>
          <w:sz w:val="22"/>
          <w:szCs w:val="22"/>
        </w:rPr>
        <w:t>KEMMOGNE SACDO MENERE BRUNO FRANCK</w:t>
      </w:r>
    </w:p>
    <w:p>
      <w:pPr>
        <w:pStyle w:val="style0"/>
        <w:jc w:val="right"/>
        <w:rPr/>
      </w:pPr>
      <w:r>
        <w:rPr>
          <w:rFonts w:ascii="Arial" w:cs="Arial" w:eastAsia="Arial" w:hAnsi="Arial"/>
          <w:i/>
          <w:iCs/>
          <w:color w:val="666666"/>
          <w:sz w:val="20"/>
          <w:szCs w:val="20"/>
        </w:rPr>
        <w:t>Député Panafricain Junior  |  L’Honorable Franck KEMMOGNE</w:t>
      </w:r>
    </w:p>
    <w:p>
      <w:pPr>
        <w:pStyle w:val="style0"/>
        <w:rPr/>
      </w:pPr>
      <w:r>
        <w:br w:type="page"/>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none" w:sz="4" w:space="0" w:color="auto"/>
              <w:left w:val="none" w:sz="4" w:space="0" w:color="auto"/>
              <w:bottom w:val="none" w:sz="4" w:space="0" w:color="auto"/>
              <w:right w:val="none" w:sz="4" w:space="0" w:color="auto"/>
            </w:tcBorders>
            <w:shd w:val="clear" w:color="auto" w:fill="1b6b3a"/>
            <w:tcMar>
              <w:top w:w="160" w:type="dxa"/>
              <w:left w:w="300" w:type="dxa"/>
              <w:bottom w:w="160" w:type="dxa"/>
              <w:right w:w="300" w:type="dxa"/>
            </w:tcMar>
          </w:tcPr>
          <w:p>
            <w:pPr>
              <w:pStyle w:val="style0"/>
              <w:jc w:val="center"/>
              <w:rPr/>
            </w:pPr>
            <w:r>
              <w:rPr>
                <w:rFonts w:ascii="Arial" w:cs="Arial" w:eastAsia="Arial" w:hAnsi="Arial"/>
                <w:b/>
                <w:bCs/>
                <w:color w:val="ffffff"/>
                <w:sz w:val="24"/>
                <w:szCs w:val="24"/>
              </w:rPr>
              <w:t>VISION GÉNÉRALE</w:t>
            </w:r>
          </w:p>
        </w:tc>
      </w:tr>
    </w:tbl>
    <w:p>
      <w:pPr>
        <w:pStyle w:val="style0"/>
        <w:spacing w:before="0" w:after="16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single" w:sz="4" w:space="0" w:color="1b6b3a"/>
              <w:left w:val="thick" w:sz="14" w:space="0" w:color="d4a017"/>
              <w:bottom w:val="single" w:sz="4" w:space="0" w:color="1b6b3a"/>
              <w:right w:val="single" w:sz="1" w:space="0" w:color="cccccc"/>
            </w:tcBorders>
            <w:shd w:val="clear" w:color="auto" w:fill="e8f5ed"/>
            <w:tcMar>
              <w:top w:w="140" w:type="dxa"/>
              <w:left w:w="240" w:type="dxa"/>
              <w:bottom w:w="140" w:type="dxa"/>
              <w:right w:w="160" w:type="dxa"/>
            </w:tcMar>
          </w:tcPr>
          <w:p>
            <w:pPr>
              <w:pStyle w:val="style0"/>
              <w:spacing w:before="40" w:after="60"/>
              <w:rPr/>
            </w:pPr>
            <w:r>
              <w:rPr>
                <w:rFonts w:ascii="Arial" w:cs="Arial" w:eastAsia="Arial" w:hAnsi="Arial"/>
                <w:i/>
                <w:iCs/>
                <w:color w:val="2c2c2c"/>
                <w:sz w:val="21"/>
                <w:szCs w:val="21"/>
              </w:rPr>
              <w:t>Ce projet communautaire incarne une vision réaliste, progressive et déjà en cours de</w:t>
            </w:r>
          </w:p>
          <w:p>
            <w:pPr>
              <w:pStyle w:val="style0"/>
              <w:spacing w:before="40" w:after="60"/>
              <w:rPr/>
            </w:pPr>
            <w:r>
              <w:rPr>
                <w:rFonts w:ascii="Arial" w:cs="Arial" w:eastAsia="Arial" w:hAnsi="Arial"/>
                <w:i/>
                <w:iCs/>
                <w:color w:val="2c2c2c"/>
                <w:sz w:val="21"/>
                <w:szCs w:val="21"/>
              </w:rPr>
              <w:t>concrétisation. Il s’inscrit dans une dynamique de développement durable axée sur la</w:t>
            </w:r>
          </w:p>
          <w:p>
            <w:pPr>
              <w:pStyle w:val="style0"/>
              <w:spacing w:before="40" w:after="60"/>
              <w:rPr/>
            </w:pPr>
            <w:r>
              <w:rPr>
                <w:rFonts w:ascii="Arial" w:cs="Arial" w:eastAsia="Arial" w:hAnsi="Arial"/>
                <w:i/>
                <w:iCs/>
                <w:color w:val="2c2c2c"/>
                <w:sz w:val="21"/>
                <w:szCs w:val="21"/>
              </w:rPr>
              <w:t>jeunesse, l’autonomisation économique et la lutte contre la précarité sociale.</w:t>
            </w:r>
          </w:p>
          <w:p>
            <w:pPr>
              <w:pStyle w:val="style0"/>
              <w:spacing w:before="40" w:after="60"/>
              <w:rPr/>
            </w:pPr>
          </w:p>
          <w:p>
            <w:pPr>
              <w:pStyle w:val="style0"/>
              <w:spacing w:before="40" w:after="60"/>
              <w:rPr/>
            </w:pPr>
            <w:r>
              <w:rPr>
                <w:rFonts w:ascii="Arial" w:cs="Arial" w:eastAsia="Arial" w:hAnsi="Arial"/>
                <w:i/>
                <w:iCs/>
                <w:color w:val="2c2c2c"/>
                <w:sz w:val="21"/>
                <w:szCs w:val="21"/>
              </w:rPr>
              <w:t>Réaliser ce projet représente un atout stratégique pour porter cette vision au niveau</w:t>
            </w:r>
          </w:p>
          <w:p>
            <w:pPr>
              <w:pStyle w:val="style0"/>
              <w:spacing w:before="40" w:after="60"/>
              <w:rPr/>
            </w:pPr>
            <w:r>
              <w:rPr>
                <w:rFonts w:ascii="Arial" w:cs="Arial" w:eastAsia="Arial" w:hAnsi="Arial"/>
                <w:i/>
                <w:iCs/>
                <w:color w:val="2c2c2c"/>
                <w:sz w:val="21"/>
                <w:szCs w:val="21"/>
              </w:rPr>
              <w:t>institutionnel, faciliter la coordination avec les acteurs publics et privés, et garantir</w:t>
            </w:r>
          </w:p>
          <w:p>
            <w:pPr>
              <w:pStyle w:val="style0"/>
              <w:spacing w:before="40" w:after="60"/>
              <w:rPr/>
            </w:pPr>
            <w:r>
              <w:rPr>
                <w:rFonts w:ascii="Arial" w:cs="Arial" w:eastAsia="Arial" w:hAnsi="Arial"/>
                <w:i/>
                <w:iCs/>
                <w:color w:val="2c2c2c"/>
                <w:sz w:val="21"/>
                <w:szCs w:val="21"/>
              </w:rPr>
              <w:t>un impact réel et mesurable sur le terrain.</w:t>
            </w:r>
          </w:p>
        </w:tc>
      </w:tr>
    </w:tbl>
    <w:p>
      <w:pPr>
        <w:pStyle w:val="style0"/>
        <w:pBdr>
          <w:bottom w:val="single" w:sz="3" w:space="1" w:color="d4a017"/>
        </w:pBdr>
        <w:spacing w:before="200" w:after="200"/>
        <w:rPr/>
      </w:pPr>
    </w:p>
    <w:p>
      <w:pPr>
        <w:pStyle w:val="style0"/>
        <w:spacing w:before="360" w:after="100"/>
        <w:rPr/>
      </w:pPr>
      <w:r>
        <w:rPr>
          <w:rFonts w:ascii="Arial" w:cs="Arial" w:eastAsia="Arial" w:hAnsi="Arial"/>
          <w:b/>
          <w:bCs/>
          <w:color w:val="d4a017"/>
          <w:sz w:val="26"/>
          <w:szCs w:val="26"/>
        </w:rPr>
        <w:t xml:space="preserve">■  </w:t>
      </w:r>
      <w:r>
        <w:rPr>
          <w:rFonts w:ascii="Arial" w:cs="Arial" w:eastAsia="Arial" w:hAnsi="Arial"/>
          <w:b/>
          <w:bCs/>
          <w:color w:val="1b6b3a"/>
          <w:sz w:val="26"/>
          <w:szCs w:val="26"/>
        </w:rPr>
        <w:t>1.  PROJET STRUCTURANT</w:t>
      </w:r>
    </w:p>
    <w:p>
      <w:pPr>
        <w:pStyle w:val="style0"/>
        <w:spacing w:before="0" w:after="100"/>
        <w:rPr/>
      </w:pPr>
      <w:r>
        <w:rPr>
          <w:rFonts w:ascii="Arial" w:cs="Arial" w:eastAsia="Arial" w:hAnsi="Arial"/>
          <w:color w:val="2c2c2c"/>
          <w:sz w:val="21"/>
          <w:szCs w:val="21"/>
        </w:rPr>
        <w:t>Création d’une entreprise agroalimentaire communautaire</w:t>
      </w:r>
    </w:p>
    <w:p>
      <w:pPr>
        <w:pStyle w:val="style0"/>
        <w:spacing w:before="0" w:after="80"/>
        <w:rPr/>
      </w:pPr>
    </w:p>
    <w:p>
      <w:pPr>
        <w:pStyle w:val="style0"/>
        <w:spacing w:before="0" w:after="100"/>
        <w:rPr/>
      </w:pPr>
      <w:r>
        <w:rPr>
          <w:rFonts w:ascii="Arial" w:cs="Arial" w:eastAsia="Arial" w:hAnsi="Arial"/>
          <w:color w:val="2c2c2c"/>
          <w:sz w:val="21"/>
          <w:szCs w:val="21"/>
        </w:rPr>
        <w:t>Le pilier central de ce projet est la mise en place d’une entreprise agroalimentaire légalement constituée, disposant déjà d’un business plan solide, d’une structuration juridique conforme et d’une vision claire de rentabilité. Le seul défi restant est la finalisation du capital de départ, actuellement en bonne voie.</w:t>
      </w:r>
    </w:p>
    <w:p>
      <w:pPr>
        <w:pStyle w:val="style0"/>
        <w:spacing w:before="0" w:after="120"/>
        <w:rPr/>
      </w:pPr>
    </w:p>
    <w:p>
      <w:pPr>
        <w:pStyle w:val="style0"/>
        <w:spacing w:before="200" w:after="80"/>
        <w:ind w:left="300"/>
        <w:rPr/>
      </w:pPr>
      <w:r>
        <w:rPr>
          <w:rFonts w:ascii="Arial" w:cs="Arial" w:eastAsia="Arial" w:hAnsi="Arial"/>
          <w:b/>
          <w:bCs/>
          <w:color w:val="d4a017"/>
          <w:sz w:val="22"/>
          <w:szCs w:val="22"/>
        </w:rPr>
        <w:t xml:space="preserve">▸  </w:t>
      </w:r>
      <w:r>
        <w:rPr>
          <w:rFonts w:ascii="Arial" w:cs="Arial" w:eastAsia="Arial" w:hAnsi="Arial"/>
          <w:b/>
          <w:bCs/>
          <w:color w:val="2c2c2c"/>
          <w:sz w:val="22"/>
          <w:szCs w:val="22"/>
        </w:rPr>
        <w:t>Objectifs principaux</w:t>
      </w:r>
    </w:p>
    <w:p>
      <w:pPr>
        <w:pStyle w:val="style179"/>
        <w:numPr>
          <w:ilvl w:val="0"/>
          <w:numId w:val="1"/>
        </w:numPr>
        <w:spacing w:before="40" w:after="60"/>
        <w:rPr/>
      </w:pPr>
      <w:r>
        <w:rPr>
          <w:rFonts w:ascii="Arial" w:cs="Arial" w:eastAsia="Arial" w:hAnsi="Arial"/>
          <w:color w:val="2c2c2c"/>
          <w:sz w:val="21"/>
          <w:szCs w:val="21"/>
        </w:rPr>
        <w:t>Réduire de manière significative le déficit alimentaire local.</w:t>
      </w:r>
    </w:p>
    <w:p>
      <w:pPr>
        <w:pStyle w:val="style179"/>
        <w:numPr>
          <w:ilvl w:val="0"/>
          <w:numId w:val="1"/>
        </w:numPr>
        <w:spacing w:before="40" w:after="60"/>
        <w:rPr/>
      </w:pPr>
      <w:r>
        <w:rPr>
          <w:rFonts w:ascii="Arial" w:cs="Arial" w:eastAsia="Arial" w:hAnsi="Arial"/>
          <w:color w:val="2c2c2c"/>
          <w:sz w:val="21"/>
          <w:szCs w:val="21"/>
        </w:rPr>
        <w:t>Créer des emplois directs et durables pour les jeunes dans la chaîne agricole et agroalimentaire.</w:t>
      </w:r>
    </w:p>
    <w:p>
      <w:pPr>
        <w:pStyle w:val="style179"/>
        <w:numPr>
          <w:ilvl w:val="0"/>
          <w:numId w:val="1"/>
        </w:numPr>
        <w:spacing w:before="40" w:after="60"/>
        <w:rPr/>
      </w:pPr>
      <w:r>
        <w:rPr>
          <w:rFonts w:ascii="Arial" w:cs="Arial" w:eastAsia="Arial" w:hAnsi="Arial"/>
          <w:color w:val="2c2c2c"/>
          <w:sz w:val="21"/>
          <w:szCs w:val="21"/>
        </w:rPr>
        <w:t>Réinvestir une grande partie des revenus générés dans des projets communautaires (formation, insertion, entrepreneuriat).</w:t>
      </w:r>
    </w:p>
    <w:p>
      <w:pPr>
        <w:pStyle w:val="style179"/>
        <w:numPr>
          <w:ilvl w:val="0"/>
          <w:numId w:val="1"/>
        </w:numPr>
        <w:spacing w:before="40" w:after="60"/>
        <w:rPr/>
      </w:pPr>
      <w:r>
        <w:rPr>
          <w:rFonts w:ascii="Arial" w:cs="Arial" w:eastAsia="Arial" w:hAnsi="Arial"/>
          <w:color w:val="2c2c2c"/>
          <w:sz w:val="21"/>
          <w:szCs w:val="21"/>
        </w:rPr>
        <w:t>Assurer une autonomie financière durable afin d’éviter une dépendance permanente aux subventions.</w:t>
      </w:r>
    </w:p>
    <w:p>
      <w:pPr>
        <w:pStyle w:val="style0"/>
        <w:pBdr>
          <w:bottom w:val="single" w:sz="3" w:space="1" w:color="d4a017"/>
        </w:pBdr>
        <w:spacing w:before="200" w:after="200"/>
        <w:rPr/>
      </w:pPr>
    </w:p>
    <w:p>
      <w:pPr>
        <w:pStyle w:val="style0"/>
        <w:spacing w:before="360" w:after="100"/>
        <w:rPr/>
      </w:pPr>
      <w:r>
        <w:rPr>
          <w:rFonts w:ascii="Arial" w:cs="Arial" w:eastAsia="Arial" w:hAnsi="Arial"/>
          <w:b/>
          <w:bCs/>
          <w:color w:val="d4a017"/>
          <w:sz w:val="26"/>
          <w:szCs w:val="26"/>
        </w:rPr>
        <w:t xml:space="preserve">■  </w:t>
      </w:r>
      <w:r>
        <w:rPr>
          <w:rFonts w:ascii="Arial" w:cs="Arial" w:eastAsia="Arial" w:hAnsi="Arial"/>
          <w:b/>
          <w:bCs/>
          <w:color w:val="1b6b3a"/>
          <w:sz w:val="26"/>
          <w:szCs w:val="26"/>
        </w:rPr>
        <w:t>2.  ZONE PILOTE ET STRATÉGIE D’EXPANSION</w:t>
      </w:r>
    </w:p>
    <w:p>
      <w:pPr>
        <w:pStyle w:val="style0"/>
        <w:spacing w:before="0" w:after="100"/>
        <w:rPr/>
      </w:pPr>
      <w:r>
        <w:rPr>
          <w:rFonts w:ascii="Arial" w:cs="Arial" w:eastAsia="Arial" w:hAnsi="Arial"/>
          <w:color w:val="2c2c2c"/>
          <w:sz w:val="21"/>
          <w:szCs w:val="21"/>
        </w:rPr>
        <w:t>Le projet débutera dans la région du Centre, précisément dans le Mfoundi, dans la commune de Yaoundé VI, avant de s’étendre progressivement aux autres communes et régions.</w:t>
      </w:r>
    </w:p>
    <w:p>
      <w:pPr>
        <w:pStyle w:val="style0"/>
        <w:spacing w:before="0" w:after="80"/>
        <w:rPr/>
      </w:pPr>
    </w:p>
    <w:p>
      <w:pPr>
        <w:pStyle w:val="style0"/>
        <w:spacing w:before="0" w:after="100"/>
        <w:rPr/>
      </w:pPr>
      <w:r>
        <w:rPr>
          <w:rFonts w:ascii="Arial" w:cs="Arial" w:eastAsia="Arial" w:hAnsi="Arial"/>
          <w:color w:val="2c2c2c"/>
          <w:sz w:val="21"/>
          <w:szCs w:val="21"/>
        </w:rPr>
        <w:t>Une collaboration étroite sera établie avec :</w:t>
      </w:r>
    </w:p>
    <w:p>
      <w:pPr>
        <w:pStyle w:val="style179"/>
        <w:numPr>
          <w:ilvl w:val="0"/>
          <w:numId w:val="1"/>
        </w:numPr>
        <w:spacing w:before="40" w:after="60"/>
        <w:rPr/>
      </w:pPr>
      <w:r>
        <w:rPr>
          <w:rFonts w:ascii="Arial" w:cs="Arial" w:eastAsia="Arial" w:hAnsi="Arial"/>
          <w:color w:val="2c2c2c"/>
          <w:sz w:val="21"/>
          <w:szCs w:val="21"/>
        </w:rPr>
        <w:t>Les maires, conseillers municipaux et députés jeunes.</w:t>
      </w:r>
    </w:p>
    <w:p>
      <w:pPr>
        <w:pStyle w:val="style179"/>
        <w:numPr>
          <w:ilvl w:val="0"/>
          <w:numId w:val="1"/>
        </w:numPr>
        <w:spacing w:before="40" w:after="60"/>
        <w:rPr/>
      </w:pPr>
      <w:r>
        <w:rPr>
          <w:rFonts w:ascii="Arial" w:cs="Arial" w:eastAsia="Arial" w:hAnsi="Arial"/>
          <w:color w:val="2c2c2c"/>
          <w:sz w:val="21"/>
          <w:szCs w:val="21"/>
        </w:rPr>
        <w:t>Le Ministère de la Jeunesse et de l’Éducation Civique.</w:t>
      </w:r>
    </w:p>
    <w:p>
      <w:pPr>
        <w:pStyle w:val="style179"/>
        <w:numPr>
          <w:ilvl w:val="0"/>
          <w:numId w:val="1"/>
        </w:numPr>
        <w:spacing w:before="40" w:after="60"/>
        <w:rPr/>
      </w:pPr>
      <w:r>
        <w:rPr>
          <w:rFonts w:ascii="Arial" w:cs="Arial" w:eastAsia="Arial" w:hAnsi="Arial"/>
          <w:color w:val="2c2c2c"/>
          <w:sz w:val="21"/>
          <w:szCs w:val="21"/>
        </w:rPr>
        <w:t>Le Ministère de l’Administration Territoriale.</w:t>
      </w:r>
    </w:p>
    <w:p>
      <w:pPr>
        <w:pStyle w:val="style179"/>
        <w:numPr>
          <w:ilvl w:val="0"/>
          <w:numId w:val="1"/>
        </w:numPr>
        <w:spacing w:before="40" w:after="60"/>
        <w:rPr/>
      </w:pPr>
      <w:r>
        <w:rPr>
          <w:rFonts w:ascii="Arial" w:cs="Arial" w:eastAsia="Arial" w:hAnsi="Arial"/>
          <w:color w:val="2c2c2c"/>
          <w:sz w:val="21"/>
          <w:szCs w:val="21"/>
        </w:rPr>
        <w:t>Le Ministère de l’Agriculture et du Développement Rural.</w:t>
      </w:r>
    </w:p>
    <w:p>
      <w:pPr>
        <w:pStyle w:val="style179"/>
        <w:numPr>
          <w:ilvl w:val="0"/>
          <w:numId w:val="1"/>
        </w:numPr>
        <w:spacing w:before="40" w:after="60"/>
        <w:rPr/>
      </w:pPr>
      <w:r>
        <w:rPr>
          <w:rFonts w:ascii="Arial" w:cs="Arial" w:eastAsia="Arial" w:hAnsi="Arial"/>
          <w:color w:val="2c2c2c"/>
          <w:sz w:val="21"/>
          <w:szCs w:val="21"/>
        </w:rPr>
        <w:t>Le Ministère des Petites et Moyennes Entreprises, de l’Économie Sociale et de l’Artisanat.</w:t>
      </w:r>
    </w:p>
    <w:p>
      <w:pPr>
        <w:pStyle w:val="style179"/>
        <w:numPr>
          <w:ilvl w:val="0"/>
          <w:numId w:val="1"/>
        </w:numPr>
        <w:spacing w:before="40" w:after="60"/>
        <w:rPr/>
      </w:pPr>
      <w:r>
        <w:rPr>
          <w:rFonts w:ascii="Arial" w:cs="Arial" w:eastAsia="Arial" w:hAnsi="Arial"/>
          <w:color w:val="2c2c2c"/>
          <w:sz w:val="21"/>
          <w:szCs w:val="21"/>
        </w:rPr>
        <w:t>Des ONG, fondations et partenaires techniques et financiers.</w:t>
      </w:r>
    </w:p>
    <w:p>
      <w:pPr>
        <w:pStyle w:val="style0"/>
        <w:spacing w:before="0" w:after="80"/>
        <w:rPr/>
      </w:pPr>
    </w:p>
    <w:p>
      <w:pPr>
        <w:pStyle w:val="style0"/>
        <w:spacing w:before="0" w:after="100"/>
        <w:rPr/>
      </w:pPr>
      <w:r>
        <w:rPr>
          <w:rFonts w:ascii="Arial" w:cs="Arial" w:eastAsia="Arial" w:hAnsi="Arial"/>
          <w:color w:val="2c2c2c"/>
          <w:sz w:val="21"/>
          <w:szCs w:val="21"/>
        </w:rPr>
        <w:t>Cette approche permettra d’adapter le projet aux réalités locales avant une extension progressive, avec une vision nationale à long terme.</w:t>
      </w:r>
    </w:p>
    <w:p>
      <w:pPr>
        <w:pStyle w:val="style0"/>
        <w:pBdr>
          <w:bottom w:val="single" w:sz="3" w:space="1" w:color="d4a017"/>
        </w:pBdr>
        <w:spacing w:before="200" w:after="200"/>
        <w:rPr/>
      </w:pPr>
    </w:p>
    <w:p>
      <w:pPr>
        <w:pStyle w:val="style0"/>
        <w:spacing w:before="360" w:after="100"/>
        <w:rPr/>
      </w:pPr>
      <w:r>
        <w:rPr>
          <w:rFonts w:ascii="Arial" w:cs="Arial" w:eastAsia="Arial" w:hAnsi="Arial"/>
          <w:b/>
          <w:bCs/>
          <w:color w:val="d4a017"/>
          <w:sz w:val="26"/>
          <w:szCs w:val="26"/>
        </w:rPr>
        <w:t xml:space="preserve">■  </w:t>
      </w:r>
      <w:r>
        <w:rPr>
          <w:rFonts w:ascii="Arial" w:cs="Arial" w:eastAsia="Arial" w:hAnsi="Arial"/>
          <w:b/>
          <w:bCs/>
          <w:color w:val="1b6b3a"/>
          <w:sz w:val="26"/>
          <w:szCs w:val="26"/>
        </w:rPr>
        <w:t>3.  MISE EN PLACE D’UN SYSTÈME DE RECENSEMENT DES JEUNES</w:t>
      </w:r>
    </w:p>
    <w:p>
      <w:pPr>
        <w:pStyle w:val="style0"/>
        <w:spacing w:before="0" w:after="100"/>
        <w:rPr/>
      </w:pPr>
      <w:r>
        <w:rPr>
          <w:rFonts w:ascii="Arial" w:cs="Arial" w:eastAsia="Arial" w:hAnsi="Arial"/>
          <w:color w:val="2c2c2c"/>
          <w:sz w:val="21"/>
          <w:szCs w:val="21"/>
        </w:rPr>
        <w:t>Un outil numérique de recensement sera développé afin d’identifier les jeunes âgés de 18 à 35 ans selon différentes catégories :</w:t>
      </w:r>
    </w:p>
    <w:p>
      <w:pPr>
        <w:pStyle w:val="style0"/>
        <w:spacing w:before="0" w:after="80"/>
        <w:rPr/>
      </w:pPr>
    </w:p>
    <w:p>
      <w:pPr>
        <w:pStyle w:val="style179"/>
        <w:numPr>
          <w:ilvl w:val="0"/>
          <w:numId w:val="1"/>
        </w:numPr>
        <w:spacing w:before="40" w:after="60"/>
        <w:rPr/>
      </w:pPr>
      <w:r>
        <w:rPr>
          <w:rFonts w:ascii="Arial" w:cs="Arial" w:eastAsia="Arial" w:hAnsi="Arial"/>
          <w:color w:val="2c2c2c"/>
          <w:sz w:val="21"/>
          <w:szCs w:val="21"/>
        </w:rPr>
        <w:t>Jeunes non scolarisés ayant une formation ou exerçant une activité.</w:t>
      </w:r>
    </w:p>
    <w:p>
      <w:pPr>
        <w:pStyle w:val="style179"/>
        <w:numPr>
          <w:ilvl w:val="0"/>
          <w:numId w:val="1"/>
        </w:numPr>
        <w:spacing w:before="40" w:after="60"/>
        <w:rPr/>
      </w:pPr>
      <w:r>
        <w:rPr>
          <w:rFonts w:ascii="Arial" w:cs="Arial" w:eastAsia="Arial" w:hAnsi="Arial"/>
          <w:color w:val="2c2c2c"/>
          <w:sz w:val="21"/>
          <w:szCs w:val="21"/>
        </w:rPr>
        <w:t>Jeunes non scolarisés sans activité.</w:t>
      </w:r>
    </w:p>
    <w:p>
      <w:pPr>
        <w:pStyle w:val="style179"/>
        <w:numPr>
          <w:ilvl w:val="0"/>
          <w:numId w:val="1"/>
        </w:numPr>
        <w:spacing w:before="40" w:after="60"/>
        <w:rPr/>
      </w:pPr>
      <w:r>
        <w:rPr>
          <w:rFonts w:ascii="Arial" w:cs="Arial" w:eastAsia="Arial" w:hAnsi="Arial"/>
          <w:color w:val="2c2c2c"/>
          <w:sz w:val="21"/>
          <w:szCs w:val="21"/>
        </w:rPr>
        <w:t>Élèves et étudiants.</w:t>
      </w:r>
    </w:p>
    <w:p>
      <w:pPr>
        <w:pStyle w:val="style179"/>
        <w:numPr>
          <w:ilvl w:val="0"/>
          <w:numId w:val="1"/>
        </w:numPr>
        <w:spacing w:before="40" w:after="60"/>
        <w:rPr/>
      </w:pPr>
      <w:r>
        <w:rPr>
          <w:rFonts w:ascii="Arial" w:cs="Arial" w:eastAsia="Arial" w:hAnsi="Arial"/>
          <w:color w:val="2c2c2c"/>
          <w:sz w:val="21"/>
          <w:szCs w:val="21"/>
        </w:rPr>
        <w:t>Jeunes diplômés à la recherche d’un emploi.</w:t>
      </w:r>
    </w:p>
    <w:p>
      <w:pPr>
        <w:pStyle w:val="style179"/>
        <w:numPr>
          <w:ilvl w:val="0"/>
          <w:numId w:val="1"/>
        </w:numPr>
        <w:spacing w:before="40" w:after="60"/>
        <w:rPr/>
      </w:pPr>
      <w:r>
        <w:rPr>
          <w:rFonts w:ascii="Arial" w:cs="Arial" w:eastAsia="Arial" w:hAnsi="Arial"/>
          <w:color w:val="2c2c2c"/>
          <w:sz w:val="21"/>
          <w:szCs w:val="21"/>
        </w:rPr>
        <w:t>Jeunes vivant avec un handicap.</w:t>
      </w:r>
    </w:p>
    <w:p>
      <w:pPr>
        <w:pStyle w:val="style0"/>
        <w:spacing w:before="0" w:after="80"/>
        <w:rPr/>
      </w:pPr>
    </w:p>
    <w:p>
      <w:pPr>
        <w:pStyle w:val="style0"/>
        <w:spacing w:before="0" w:after="100"/>
        <w:rPr/>
      </w:pPr>
      <w:r>
        <w:rPr>
          <w:rFonts w:ascii="Arial" w:cs="Arial" w:eastAsia="Arial" w:hAnsi="Arial"/>
          <w:color w:val="2c2c2c"/>
          <w:sz w:val="21"/>
          <w:szCs w:val="21"/>
        </w:rPr>
        <w:t>Ce recensement permettra une meilleure planification des actions et une allocation équitable des ressources.</w:t>
      </w:r>
    </w:p>
    <w:p>
      <w:pPr>
        <w:pStyle w:val="style0"/>
        <w:pBdr>
          <w:bottom w:val="single" w:sz="3" w:space="1" w:color="d4a017"/>
        </w:pBdr>
        <w:spacing w:before="200" w:after="200"/>
        <w:rPr/>
      </w:pPr>
    </w:p>
    <w:p>
      <w:pPr>
        <w:pStyle w:val="style0"/>
        <w:spacing w:before="360" w:after="100"/>
        <w:rPr/>
      </w:pPr>
      <w:r>
        <w:rPr>
          <w:rFonts w:ascii="Arial" w:cs="Arial" w:eastAsia="Arial" w:hAnsi="Arial"/>
          <w:b/>
          <w:bCs/>
          <w:color w:val="d4a017"/>
          <w:sz w:val="26"/>
          <w:szCs w:val="26"/>
        </w:rPr>
        <w:t xml:space="preserve">■  </w:t>
      </w:r>
      <w:r>
        <w:rPr>
          <w:rFonts w:ascii="Arial" w:cs="Arial" w:eastAsia="Arial" w:hAnsi="Arial"/>
          <w:b/>
          <w:bCs/>
          <w:color w:val="1b6b3a"/>
          <w:sz w:val="26"/>
          <w:szCs w:val="26"/>
        </w:rPr>
        <w:t>4.  IDENTIFICATION NUMÉRIQUE ET SÉCURISATION SOCIALE</w:t>
      </w:r>
    </w:p>
    <w:p>
      <w:pPr>
        <w:pStyle w:val="style0"/>
        <w:spacing w:before="0" w:after="100"/>
        <w:rPr/>
      </w:pPr>
      <w:r>
        <w:rPr>
          <w:rFonts w:ascii="Arial" w:cs="Arial" w:eastAsia="Arial" w:hAnsi="Arial"/>
          <w:color w:val="2c2c2c"/>
          <w:sz w:val="21"/>
          <w:szCs w:val="21"/>
        </w:rPr>
        <w:t>À l’issue du recensement, un système d’identification numérique sera mis en place à travers la création de cartes d’identification dotées de codes QR, lisibles même sans connexion internet.</w:t>
      </w:r>
    </w:p>
    <w:p>
      <w:pPr>
        <w:pStyle w:val="style0"/>
        <w:spacing w:before="0" w:after="100"/>
        <w:rPr/>
      </w:pPr>
    </w:p>
    <w:p>
      <w:pPr>
        <w:pStyle w:val="style0"/>
        <w:spacing w:before="0" w:after="100"/>
        <w:rPr/>
      </w:pPr>
      <w:r>
        <w:rPr>
          <w:rFonts w:ascii="Arial" w:cs="Arial" w:eastAsia="Arial" w:hAnsi="Arial"/>
          <w:color w:val="2c2c2c"/>
          <w:sz w:val="21"/>
          <w:szCs w:val="21"/>
        </w:rPr>
        <w:t>Ce dispositif permettra de :</w:t>
      </w:r>
    </w:p>
    <w:p>
      <w:pPr>
        <w:pStyle w:val="style179"/>
        <w:numPr>
          <w:ilvl w:val="0"/>
          <w:numId w:val="1"/>
        </w:numPr>
        <w:spacing w:before="40" w:after="60"/>
        <w:rPr/>
      </w:pPr>
      <w:r>
        <w:rPr>
          <w:rFonts w:ascii="Arial" w:cs="Arial" w:eastAsia="Arial" w:hAnsi="Arial"/>
          <w:color w:val="2c2c2c"/>
          <w:sz w:val="21"/>
          <w:szCs w:val="21"/>
        </w:rPr>
        <w:t>Limiter les doublons et garantir que chaque jeune bénéficie équitablement des aides.</w:t>
      </w:r>
    </w:p>
    <w:p>
      <w:pPr>
        <w:pStyle w:val="style179"/>
        <w:numPr>
          <w:ilvl w:val="0"/>
          <w:numId w:val="1"/>
        </w:numPr>
        <w:spacing w:before="40" w:after="60"/>
        <w:rPr/>
      </w:pPr>
      <w:r>
        <w:rPr>
          <w:rFonts w:ascii="Arial" w:cs="Arial" w:eastAsia="Arial" w:hAnsi="Arial"/>
          <w:color w:val="2c2c2c"/>
          <w:sz w:val="21"/>
          <w:szCs w:val="21"/>
        </w:rPr>
        <w:t>Réduire l’insécurité et lutter contre la délinquance juvénile : tout jeune impliqué dans des actes de délinquance perdra temporairement ses avantages.</w:t>
      </w:r>
    </w:p>
    <w:p>
      <w:pPr>
        <w:pStyle w:val="style179"/>
        <w:numPr>
          <w:ilvl w:val="0"/>
          <w:numId w:val="1"/>
        </w:numPr>
        <w:spacing w:before="40" w:after="60"/>
        <w:rPr/>
      </w:pPr>
      <w:r>
        <w:rPr>
          <w:rFonts w:ascii="Arial" w:cs="Arial" w:eastAsia="Arial" w:hAnsi="Arial"/>
          <w:color w:val="2c2c2c"/>
          <w:sz w:val="21"/>
          <w:szCs w:val="21"/>
        </w:rPr>
        <w:t>Renforcer la responsabilisation citoyenne des jeunes bénéficiaires.</w:t>
      </w:r>
    </w:p>
    <w:p>
      <w:pPr>
        <w:pStyle w:val="style0"/>
        <w:spacing w:before="0" w:after="120"/>
        <w:rPr/>
      </w:pPr>
    </w:p>
    <w:p>
      <w:pPr>
        <w:pStyle w:val="style0"/>
        <w:spacing w:before="80" w:after="80"/>
        <w:jc w:val="center"/>
        <w:rPr/>
      </w:pPr>
      <w:r>
        <w:rPr/>
        <w:drawing>
          <wp:inline distL="0" distT="0" distB="0" distR="0">
            <wp:extent cx="1714500" cy="2476500"/>
            <wp:effectExtent l="0" t="0" r="0" b="0"/>
            <wp:docPr id="1026"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srcRect l="0" t="0" r="0" b="0"/>
                    <a:stretch/>
                  </pic:blipFill>
                  <pic:spPr>
                    <a:xfrm rot="0">
                      <a:off x="0" y="0"/>
                      <a:ext cx="1714500" cy="2476500"/>
                    </a:xfrm>
                    <a:prstGeom prst="rect"/>
                  </pic:spPr>
                </pic:pic>
              </a:graphicData>
            </a:graphic>
          </wp:inline>
        </w:drawing>
      </w:r>
    </w:p>
    <w:p>
      <w:pPr>
        <w:pStyle w:val="style0"/>
        <w:spacing w:before="0" w:after="40"/>
        <w:rPr/>
      </w:pPr>
    </w:p>
    <w:p>
      <w:pPr>
        <w:pStyle w:val="style0"/>
        <w:spacing w:before="0" w:after="60"/>
        <w:jc w:val="center"/>
        <w:rPr/>
      </w:pPr>
      <w:r>
        <w:rPr>
          <w:rFonts w:ascii="Arial" w:cs="Arial" w:eastAsia="Arial" w:hAnsi="Arial"/>
          <w:i/>
          <w:iCs/>
          <w:color w:val="666666"/>
          <w:sz w:val="18"/>
          <w:szCs w:val="18"/>
        </w:rPr>
        <w:t>Modèle de carte d’identification avec code QR</w:t>
      </w:r>
    </w:p>
    <w:p>
      <w:pPr>
        <w:pStyle w:val="style0"/>
        <w:pBdr>
          <w:bottom w:val="single" w:sz="3" w:space="1" w:color="d4a017"/>
        </w:pBdr>
        <w:spacing w:before="200" w:after="200"/>
        <w:rPr/>
      </w:pPr>
    </w:p>
    <w:p>
      <w:pPr>
        <w:pStyle w:val="style0"/>
        <w:spacing w:before="360" w:after="100"/>
        <w:rPr/>
      </w:pPr>
      <w:r>
        <w:rPr>
          <w:rFonts w:ascii="Arial" w:cs="Arial" w:eastAsia="Arial" w:hAnsi="Arial"/>
          <w:b/>
          <w:bCs/>
          <w:color w:val="d4a017"/>
          <w:sz w:val="26"/>
          <w:szCs w:val="26"/>
        </w:rPr>
        <w:t xml:space="preserve">■  </w:t>
      </w:r>
      <w:r>
        <w:rPr>
          <w:rFonts w:ascii="Arial" w:cs="Arial" w:eastAsia="Arial" w:hAnsi="Arial"/>
          <w:b/>
          <w:bCs/>
          <w:color w:val="1b6b3a"/>
          <w:sz w:val="26"/>
          <w:szCs w:val="26"/>
        </w:rPr>
        <w:t>5.  ACTIONS CONCRÈTES D’INSERTION ET D’AUTONOMISATION DES JEUNES</w:t>
      </w:r>
    </w:p>
    <w:p>
      <w:pPr>
        <w:pStyle w:val="style0"/>
        <w:spacing w:before="0" w:after="60"/>
        <w:rPr/>
      </w:pPr>
    </w:p>
    <w:p>
      <w:pPr>
        <w:pStyle w:val="style0"/>
        <w:spacing w:before="200" w:after="80"/>
        <w:ind w:left="300"/>
        <w:rPr/>
      </w:pPr>
      <w:r>
        <w:rPr>
          <w:rFonts w:ascii="Arial" w:cs="Arial" w:eastAsia="Arial" w:hAnsi="Arial"/>
          <w:b/>
          <w:bCs/>
          <w:color w:val="d4a017"/>
          <w:sz w:val="22"/>
          <w:szCs w:val="22"/>
        </w:rPr>
        <w:t xml:space="preserve">▸  </w:t>
      </w:r>
      <w:r>
        <w:rPr>
          <w:rFonts w:ascii="Arial" w:cs="Arial" w:eastAsia="Arial" w:hAnsi="Arial"/>
          <w:b/>
          <w:bCs/>
          <w:color w:val="2c2c2c"/>
          <w:sz w:val="22"/>
          <w:szCs w:val="22"/>
        </w:rPr>
        <w:t>a)  Formation et insertion professionnelle</w:t>
      </w:r>
    </w:p>
    <w:p>
      <w:pPr>
        <w:pStyle w:val="style179"/>
        <w:numPr>
          <w:ilvl w:val="0"/>
          <w:numId w:val="1"/>
        </w:numPr>
        <w:spacing w:before="40" w:after="60"/>
        <w:rPr/>
      </w:pPr>
      <w:r>
        <w:rPr>
          <w:rFonts w:ascii="Arial" w:cs="Arial" w:eastAsia="Arial" w:hAnsi="Arial"/>
          <w:color w:val="2c2c2c"/>
          <w:sz w:val="21"/>
          <w:szCs w:val="21"/>
        </w:rPr>
        <w:t>Formations pratiques pour les jeunes non scolarisés, selon leurs centres d’intérêt.</w:t>
      </w:r>
    </w:p>
    <w:p>
      <w:pPr>
        <w:pStyle w:val="style179"/>
        <w:numPr>
          <w:ilvl w:val="0"/>
          <w:numId w:val="1"/>
        </w:numPr>
        <w:spacing w:before="40" w:after="60"/>
        <w:rPr/>
      </w:pPr>
      <w:r>
        <w:rPr>
          <w:rFonts w:ascii="Arial" w:cs="Arial" w:eastAsia="Arial" w:hAnsi="Arial"/>
          <w:color w:val="2c2c2c"/>
          <w:sz w:val="21"/>
          <w:szCs w:val="21"/>
        </w:rPr>
        <w:t>Partenariats avec des entreprises dans les secteurs du Bâtiment et Travaux Publics (BTP), de l’agriculture et de l’artisanat.</w:t>
      </w:r>
    </w:p>
    <w:p>
      <w:pPr>
        <w:pStyle w:val="style179"/>
        <w:numPr>
          <w:ilvl w:val="0"/>
          <w:numId w:val="1"/>
        </w:numPr>
        <w:spacing w:before="40" w:after="60"/>
        <w:rPr/>
      </w:pPr>
      <w:r>
        <w:rPr>
          <w:rFonts w:ascii="Arial" w:cs="Arial" w:eastAsia="Arial" w:hAnsi="Arial"/>
          <w:color w:val="2c2c2c"/>
          <w:sz w:val="21"/>
          <w:szCs w:val="21"/>
        </w:rPr>
        <w:t>Facilitation de l’insertion professionnelle directe.</w:t>
      </w:r>
    </w:p>
    <w:p>
      <w:pPr>
        <w:pStyle w:val="style179"/>
        <w:numPr>
          <w:ilvl w:val="0"/>
          <w:numId w:val="1"/>
        </w:numPr>
        <w:spacing w:before="40" w:after="60"/>
        <w:rPr/>
      </w:pPr>
      <w:r>
        <w:rPr>
          <w:rFonts w:ascii="Arial" w:cs="Arial" w:eastAsia="Arial" w:hAnsi="Arial"/>
          <w:color w:val="2c2c2c"/>
          <w:sz w:val="21"/>
          <w:szCs w:val="21"/>
        </w:rPr>
        <w:t>À moyen terme, mise à disposition de moyens de transport pour améliorer les conditions de travail.</w:t>
      </w:r>
    </w:p>
    <w:p>
      <w:pPr>
        <w:pStyle w:val="style0"/>
        <w:spacing w:before="0" w:after="12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513"/>
        <w:gridCol w:w="4513"/>
      </w:tblGrid>
      <w:tr>
        <w:trPr/>
        <w:tc>
          <w:tcPr>
            <w:tcW w:w="4513" w:type="dxa"/>
            <w:tcBorders>
              <w:top w:val="none" w:sz="4" w:space="0" w:color="auto"/>
              <w:left w:val="none" w:sz="4" w:space="0" w:color="auto"/>
              <w:bottom w:val="none" w:sz="4" w:space="0" w:color="auto"/>
              <w:right w:val="none" w:sz="4" w:space="0" w:color="auto"/>
            </w:tcBorders>
            <w:tcMar>
              <w:top w:w="60" w:type="dxa"/>
              <w:left w:w="60" w:type="dxa"/>
              <w:bottom w:w="60" w:type="dxa"/>
              <w:right w:w="60" w:type="dxa"/>
            </w:tcMar>
          </w:tcPr>
          <w:p>
            <w:pPr>
              <w:pStyle w:val="style0"/>
              <w:spacing w:before="60" w:after="60"/>
              <w:jc w:val="center"/>
              <w:rPr/>
            </w:pPr>
            <w:r>
              <w:rPr/>
              <w:drawing>
                <wp:inline distL="0" distT="0" distB="0" distR="0">
                  <wp:extent cx="1904999" cy="1343025"/>
                  <wp:effectExtent l="0" t="0" r="0" b="0"/>
                  <wp:docPr id="1027"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srcRect l="0" t="0" r="0" b="0"/>
                          <a:stretch/>
                        </pic:blipFill>
                        <pic:spPr>
                          <a:xfrm rot="0">
                            <a:off x="0" y="0"/>
                            <a:ext cx="1904999" cy="1343025"/>
                          </a:xfrm>
                          <a:prstGeom prst="rect"/>
                        </pic:spPr>
                      </pic:pic>
                    </a:graphicData>
                  </a:graphic>
                </wp:inline>
              </w:drawing>
            </w:r>
          </w:p>
        </w:tc>
        <w:tc>
          <w:tcPr>
            <w:tcW w:w="4513" w:type="dxa"/>
            <w:tcBorders>
              <w:top w:val="none" w:sz="4" w:space="0" w:color="auto"/>
              <w:left w:val="none" w:sz="4" w:space="0" w:color="auto"/>
              <w:bottom w:val="none" w:sz="4" w:space="0" w:color="auto"/>
              <w:right w:val="none" w:sz="4" w:space="0" w:color="auto"/>
            </w:tcBorders>
            <w:tcMar>
              <w:top w:w="60" w:type="dxa"/>
              <w:left w:w="60" w:type="dxa"/>
              <w:bottom w:w="60" w:type="dxa"/>
              <w:right w:w="60" w:type="dxa"/>
            </w:tcMar>
          </w:tcPr>
          <w:p>
            <w:pPr>
              <w:pStyle w:val="style0"/>
              <w:spacing w:before="60" w:after="60"/>
              <w:jc w:val="center"/>
              <w:rPr/>
            </w:pPr>
            <w:r>
              <w:rPr/>
              <w:drawing>
                <wp:inline distL="0" distT="0" distB="0" distR="0">
                  <wp:extent cx="1904999" cy="857250"/>
                  <wp:effectExtent l="0" t="0" r="0" b="0"/>
                  <wp:docPr id="1028"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4" cstate="print"/>
                          <a:srcRect l="0" t="0" r="0" b="0"/>
                          <a:stretch/>
                        </pic:blipFill>
                        <pic:spPr>
                          <a:xfrm rot="0">
                            <a:off x="0" y="0"/>
                            <a:ext cx="1904999" cy="857250"/>
                          </a:xfrm>
                          <a:prstGeom prst="rect"/>
                        </pic:spPr>
                      </pic:pic>
                    </a:graphicData>
                  </a:graphic>
                </wp:inline>
              </w:drawing>
            </w:r>
          </w:p>
        </w:tc>
      </w:tr>
    </w:tbl>
    <w:p>
      <w:pPr>
        <w:pStyle w:val="style0"/>
        <w:spacing w:before="0" w:after="4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513"/>
        <w:gridCol w:w="4513"/>
      </w:tblGrid>
      <w:tr>
        <w:trPr/>
        <w:tc>
          <w:tcPr>
            <w:tcW w:w="4513" w:type="dxa"/>
            <w:tcBorders>
              <w:top w:val="none" w:sz="4" w:space="0" w:color="auto"/>
              <w:left w:val="none" w:sz="4" w:space="0" w:color="auto"/>
              <w:bottom w:val="none" w:sz="4" w:space="0" w:color="auto"/>
              <w:right w:val="none" w:sz="4" w:space="0" w:color="auto"/>
            </w:tcBorders>
            <w:tcMar>
              <w:top w:w="60" w:type="dxa"/>
              <w:left w:w="60" w:type="dxa"/>
              <w:bottom w:w="60" w:type="dxa"/>
              <w:right w:w="60" w:type="dxa"/>
            </w:tcMar>
          </w:tcPr>
          <w:p>
            <w:pPr>
              <w:pStyle w:val="style0"/>
              <w:spacing w:before="60" w:after="60"/>
              <w:jc w:val="center"/>
              <w:rPr/>
            </w:pPr>
            <w:r>
              <w:rPr/>
              <w:drawing>
                <wp:inline distL="0" distT="0" distB="0" distR="0">
                  <wp:extent cx="1904999" cy="1714500"/>
                  <wp:effectExtent l="0" t="0" r="0" b="0"/>
                  <wp:docPr id="1029"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5" cstate="print"/>
                          <a:srcRect l="0" t="0" r="0" b="0"/>
                          <a:stretch/>
                        </pic:blipFill>
                        <pic:spPr>
                          <a:xfrm rot="0">
                            <a:off x="0" y="0"/>
                            <a:ext cx="1904999" cy="1714500"/>
                          </a:xfrm>
                          <a:prstGeom prst="rect"/>
                        </pic:spPr>
                      </pic:pic>
                    </a:graphicData>
                  </a:graphic>
                </wp:inline>
              </w:drawing>
            </w:r>
          </w:p>
        </w:tc>
        <w:tc>
          <w:tcPr>
            <w:tcW w:w="4513" w:type="dxa"/>
            <w:tcBorders>
              <w:top w:val="none" w:sz="4" w:space="0" w:color="auto"/>
              <w:left w:val="none" w:sz="4" w:space="0" w:color="auto"/>
              <w:bottom w:val="none" w:sz="4" w:space="0" w:color="auto"/>
              <w:right w:val="none" w:sz="4" w:space="0" w:color="auto"/>
            </w:tcBorders>
            <w:tcMar>
              <w:top w:w="60" w:type="dxa"/>
              <w:left w:w="60" w:type="dxa"/>
              <w:bottom w:w="60" w:type="dxa"/>
              <w:right w:w="60" w:type="dxa"/>
            </w:tcMar>
          </w:tcPr>
          <w:p>
            <w:pPr>
              <w:pStyle w:val="style0"/>
              <w:spacing w:before="60" w:after="60"/>
              <w:jc w:val="center"/>
              <w:rPr/>
            </w:pPr>
            <w:r>
              <w:rPr/>
              <w:drawing>
                <wp:inline distL="0" distT="0" distB="0" distR="0">
                  <wp:extent cx="1904999" cy="1981200"/>
                  <wp:effectExtent l="0" t="0" r="0" b="0"/>
                  <wp:docPr id="1030"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6" cstate="print"/>
                          <a:srcRect l="0" t="0" r="0" b="0"/>
                          <a:stretch/>
                        </pic:blipFill>
                        <pic:spPr>
                          <a:xfrm rot="0">
                            <a:off x="0" y="0"/>
                            <a:ext cx="1904999" cy="1981200"/>
                          </a:xfrm>
                          <a:prstGeom prst="rect"/>
                        </pic:spPr>
                      </pic:pic>
                    </a:graphicData>
                  </a:graphic>
                </wp:inline>
              </w:drawing>
            </w:r>
          </w:p>
        </w:tc>
      </w:tr>
    </w:tbl>
    <w:p>
      <w:pPr>
        <w:pStyle w:val="style0"/>
        <w:spacing w:before="0" w:after="140"/>
        <w:rPr/>
      </w:pPr>
    </w:p>
    <w:p>
      <w:pPr>
        <w:pStyle w:val="style0"/>
        <w:spacing w:before="200" w:after="80"/>
        <w:ind w:left="300"/>
        <w:rPr/>
      </w:pPr>
      <w:r>
        <w:rPr>
          <w:rFonts w:ascii="Arial" w:cs="Arial" w:eastAsia="Arial" w:hAnsi="Arial"/>
          <w:b/>
          <w:bCs/>
          <w:color w:val="d4a017"/>
          <w:sz w:val="22"/>
          <w:szCs w:val="22"/>
        </w:rPr>
        <w:t xml:space="preserve">▸  </w:t>
      </w:r>
      <w:r>
        <w:rPr>
          <w:rFonts w:ascii="Arial" w:cs="Arial" w:eastAsia="Arial" w:hAnsi="Arial"/>
          <w:b/>
          <w:bCs/>
          <w:color w:val="2c2c2c"/>
          <w:sz w:val="22"/>
          <w:szCs w:val="22"/>
        </w:rPr>
        <w:t>b)  Soutien à l’auto-emploi</w:t>
      </w:r>
    </w:p>
    <w:p>
      <w:pPr>
        <w:pStyle w:val="style179"/>
        <w:numPr>
          <w:ilvl w:val="0"/>
          <w:numId w:val="1"/>
        </w:numPr>
        <w:spacing w:before="40" w:after="60"/>
        <w:rPr/>
      </w:pPr>
      <w:r>
        <w:rPr>
          <w:rFonts w:ascii="Arial" w:cs="Arial" w:eastAsia="Arial" w:hAnsi="Arial"/>
          <w:color w:val="2c2c2c"/>
          <w:sz w:val="21"/>
          <w:szCs w:val="21"/>
        </w:rPr>
        <w:t>Mise à disposition de petits secrétariats, salons de coiffure, ateliers de menuiserie et commerces de proximité.</w:t>
      </w:r>
    </w:p>
    <w:p>
      <w:pPr>
        <w:pStyle w:val="style179"/>
        <w:numPr>
          <w:ilvl w:val="0"/>
          <w:numId w:val="1"/>
        </w:numPr>
        <w:spacing w:before="40" w:after="60"/>
        <w:rPr/>
      </w:pPr>
      <w:r>
        <w:rPr>
          <w:rFonts w:ascii="Arial" w:cs="Arial" w:eastAsia="Arial" w:hAnsi="Arial"/>
          <w:color w:val="2c2c2c"/>
          <w:sz w:val="21"/>
          <w:szCs w:val="21"/>
        </w:rPr>
        <w:t>Développement d’activités de vente en ligne et d’import-export avec accompagnement (Chine, Turquie).</w:t>
      </w:r>
    </w:p>
    <w:p>
      <w:pPr>
        <w:pStyle w:val="style179"/>
        <w:numPr>
          <w:ilvl w:val="0"/>
          <w:numId w:val="1"/>
        </w:numPr>
        <w:spacing w:before="40" w:after="60"/>
        <w:rPr/>
      </w:pPr>
      <w:r>
        <w:rPr>
          <w:rFonts w:ascii="Arial" w:cs="Arial" w:eastAsia="Arial" w:hAnsi="Arial"/>
          <w:color w:val="2c2c2c"/>
          <w:sz w:val="21"/>
          <w:szCs w:val="21"/>
        </w:rPr>
        <w:t>Financement de projets collectifs supervisés avec accompagnement jusqu’à leur réussite.</w:t>
      </w:r>
    </w:p>
    <w:p>
      <w:pPr>
        <w:pStyle w:val="style0"/>
        <w:spacing w:before="0" w:after="120"/>
        <w:rPr/>
      </w:pPr>
    </w:p>
    <w:p>
      <w:pPr>
        <w:pStyle w:val="style0"/>
        <w:spacing w:before="80" w:after="80"/>
        <w:jc w:val="center"/>
        <w:rPr/>
      </w:pPr>
      <w:r>
        <w:rPr/>
        <w:drawing>
          <wp:inline distL="0" distT="0" distB="0" distR="0">
            <wp:extent cx="5334000" cy="2619375"/>
            <wp:effectExtent l="0" t="0" r="0" b="0"/>
            <wp:docPr id="1031"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7" cstate="print"/>
                    <a:srcRect l="0" t="0" r="0" b="0"/>
                    <a:stretch/>
                  </pic:blipFill>
                  <pic:spPr>
                    <a:xfrm rot="0">
                      <a:off x="0" y="0"/>
                      <a:ext cx="5334000" cy="2619375"/>
                    </a:xfrm>
                    <a:prstGeom prst="rect"/>
                  </pic:spPr>
                </pic:pic>
              </a:graphicData>
            </a:graphic>
          </wp:inline>
        </w:drawing>
      </w:r>
    </w:p>
    <w:p>
      <w:pPr>
        <w:pStyle w:val="style0"/>
        <w:spacing w:before="0" w:after="80"/>
        <w:rPr/>
      </w:pPr>
    </w:p>
    <w:p>
      <w:pPr>
        <w:pStyle w:val="style0"/>
        <w:spacing w:before="80" w:after="80"/>
        <w:jc w:val="center"/>
        <w:rPr/>
      </w:pPr>
      <w:r>
        <w:rPr/>
        <w:drawing>
          <wp:inline distL="0" distT="0" distB="0" distR="0">
            <wp:extent cx="2667000" cy="1781175"/>
            <wp:effectExtent l="0" t="0" r="0" b="0"/>
            <wp:docPr id="1032"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r:embed="rId8" cstate="print"/>
                    <a:srcRect l="0" t="0" r="0" b="0"/>
                    <a:stretch/>
                  </pic:blipFill>
                  <pic:spPr>
                    <a:xfrm rot="0">
                      <a:off x="0" y="0"/>
                      <a:ext cx="2667000" cy="1781175"/>
                    </a:xfrm>
                    <a:prstGeom prst="rect"/>
                  </pic:spPr>
                </pic:pic>
              </a:graphicData>
            </a:graphic>
          </wp:inline>
        </w:drawing>
      </w:r>
    </w:p>
    <w:p>
      <w:pPr>
        <w:pStyle w:val="style0"/>
        <w:spacing w:before="0" w:after="40"/>
        <w:rPr/>
      </w:pPr>
    </w:p>
    <w:p>
      <w:pPr>
        <w:pStyle w:val="style0"/>
        <w:spacing w:before="0" w:after="100"/>
        <w:jc w:val="center"/>
        <w:rPr/>
      </w:pPr>
      <w:r>
        <w:rPr>
          <w:rFonts w:ascii="Arial" w:cs="Arial" w:eastAsia="Arial" w:hAnsi="Arial"/>
          <w:i/>
          <w:iCs/>
          <w:color w:val="666666"/>
          <w:sz w:val="18"/>
          <w:szCs w:val="18"/>
        </w:rPr>
        <w:t>Exemple de petit secrétariat mis à disposition</w:t>
      </w:r>
    </w:p>
    <w:p>
      <w:pPr>
        <w:pStyle w:val="style0"/>
        <w:spacing w:before="0" w:after="100"/>
        <w:rPr/>
      </w:pPr>
    </w:p>
    <w:p>
      <w:pPr>
        <w:pStyle w:val="style0"/>
        <w:spacing w:before="200" w:after="80"/>
        <w:ind w:left="300"/>
        <w:rPr/>
      </w:pPr>
      <w:r>
        <w:rPr>
          <w:rFonts w:ascii="Arial" w:cs="Arial" w:eastAsia="Arial" w:hAnsi="Arial"/>
          <w:b/>
          <w:bCs/>
          <w:color w:val="d4a017"/>
          <w:sz w:val="22"/>
          <w:szCs w:val="22"/>
        </w:rPr>
        <w:t xml:space="preserve">▸  </w:t>
      </w:r>
      <w:r>
        <w:rPr>
          <w:rFonts w:ascii="Arial" w:cs="Arial" w:eastAsia="Arial" w:hAnsi="Arial"/>
          <w:b/>
          <w:bCs/>
          <w:color w:val="2c2c2c"/>
          <w:sz w:val="22"/>
          <w:szCs w:val="22"/>
        </w:rPr>
        <w:t>c)  Jeunesse scolaire et estudiantine</w:t>
      </w:r>
    </w:p>
    <w:p>
      <w:pPr>
        <w:pStyle w:val="style179"/>
        <w:numPr>
          <w:ilvl w:val="0"/>
          <w:numId w:val="1"/>
        </w:numPr>
        <w:spacing w:before="40" w:after="60"/>
        <w:rPr/>
      </w:pPr>
      <w:r>
        <w:rPr>
          <w:rFonts w:ascii="Arial" w:cs="Arial" w:eastAsia="Arial" w:hAnsi="Arial"/>
          <w:color w:val="2c2c2c"/>
          <w:sz w:val="21"/>
          <w:szCs w:val="21"/>
        </w:rPr>
        <w:t>Promotion de l’entrepreneuriat en milieu scolaire.</w:t>
      </w:r>
    </w:p>
    <w:p>
      <w:pPr>
        <w:pStyle w:val="style179"/>
        <w:numPr>
          <w:ilvl w:val="0"/>
          <w:numId w:val="1"/>
        </w:numPr>
        <w:spacing w:before="40" w:after="60"/>
        <w:rPr/>
      </w:pPr>
      <w:r>
        <w:rPr>
          <w:rFonts w:ascii="Arial" w:cs="Arial" w:eastAsia="Arial" w:hAnsi="Arial"/>
          <w:color w:val="2c2c2c"/>
          <w:sz w:val="21"/>
          <w:szCs w:val="21"/>
        </w:rPr>
        <w:t>Préparation des élèves de Première et Terminale à l’insertion socioprofessionnelle.</w:t>
      </w:r>
    </w:p>
    <w:p>
      <w:pPr>
        <w:pStyle w:val="style179"/>
        <w:numPr>
          <w:ilvl w:val="0"/>
          <w:numId w:val="1"/>
        </w:numPr>
        <w:spacing w:before="40" w:after="60"/>
        <w:rPr/>
      </w:pPr>
      <w:r>
        <w:rPr>
          <w:rFonts w:ascii="Arial" w:cs="Arial" w:eastAsia="Arial" w:hAnsi="Arial"/>
          <w:color w:val="2c2c2c"/>
          <w:sz w:val="21"/>
          <w:szCs w:val="21"/>
        </w:rPr>
        <w:t>Sensibilisation à l’indépendance financière dès le plus jeune âge.</w:t>
      </w:r>
    </w:p>
    <w:p>
      <w:pPr>
        <w:pStyle w:val="style0"/>
        <w:spacing w:before="0" w:after="12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513"/>
        <w:gridCol w:w="4513"/>
      </w:tblGrid>
      <w:tr>
        <w:trPr/>
        <w:tc>
          <w:tcPr>
            <w:tcW w:w="4513" w:type="dxa"/>
            <w:tcBorders>
              <w:top w:val="none" w:sz="4" w:space="0" w:color="auto"/>
              <w:left w:val="none" w:sz="4" w:space="0" w:color="auto"/>
              <w:bottom w:val="none" w:sz="4" w:space="0" w:color="auto"/>
              <w:right w:val="none" w:sz="4" w:space="0" w:color="auto"/>
            </w:tcBorders>
            <w:tcMar>
              <w:top w:w="60" w:type="dxa"/>
              <w:left w:w="60" w:type="dxa"/>
              <w:bottom w:w="60" w:type="dxa"/>
              <w:right w:w="60" w:type="dxa"/>
            </w:tcMar>
          </w:tcPr>
          <w:p>
            <w:pPr>
              <w:pStyle w:val="style0"/>
              <w:spacing w:before="60" w:after="60"/>
              <w:jc w:val="center"/>
              <w:rPr/>
            </w:pPr>
            <w:r>
              <w:rPr/>
              <w:drawing>
                <wp:inline distL="0" distT="0" distB="0" distR="0">
                  <wp:extent cx="1809750" cy="2181225"/>
                  <wp:effectExtent l="0" t="0" r="0" b="0"/>
                  <wp:docPr id="1033"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9" cstate="print"/>
                          <a:srcRect l="0" t="0" r="0" b="0"/>
                          <a:stretch/>
                        </pic:blipFill>
                        <pic:spPr>
                          <a:xfrm rot="0">
                            <a:off x="0" y="0"/>
                            <a:ext cx="1809750" cy="2181225"/>
                          </a:xfrm>
                          <a:prstGeom prst="rect"/>
                        </pic:spPr>
                      </pic:pic>
                    </a:graphicData>
                  </a:graphic>
                </wp:inline>
              </w:drawing>
            </w:r>
          </w:p>
        </w:tc>
        <w:tc>
          <w:tcPr>
            <w:tcW w:w="4513" w:type="dxa"/>
            <w:tcBorders>
              <w:top w:val="none" w:sz="4" w:space="0" w:color="auto"/>
              <w:left w:val="none" w:sz="4" w:space="0" w:color="auto"/>
              <w:bottom w:val="none" w:sz="4" w:space="0" w:color="auto"/>
              <w:right w:val="none" w:sz="4" w:space="0" w:color="auto"/>
            </w:tcBorders>
            <w:tcMar>
              <w:top w:w="60" w:type="dxa"/>
              <w:left w:w="60" w:type="dxa"/>
              <w:bottom w:w="60" w:type="dxa"/>
              <w:right w:w="60" w:type="dxa"/>
            </w:tcMar>
          </w:tcPr>
          <w:p>
            <w:pPr>
              <w:pStyle w:val="style0"/>
              <w:spacing w:before="60" w:after="60"/>
              <w:jc w:val="center"/>
              <w:rPr/>
            </w:pPr>
            <w:r>
              <w:rPr/>
              <w:drawing>
                <wp:inline distL="0" distT="0" distB="0" distR="0">
                  <wp:extent cx="1809750" cy="1409700"/>
                  <wp:effectExtent l="0" t="0" r="0" b="0"/>
                  <wp:docPr id="1034"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0" cstate="print"/>
                          <a:srcRect l="0" t="0" r="0" b="0"/>
                          <a:stretch/>
                        </pic:blipFill>
                        <pic:spPr>
                          <a:xfrm rot="0">
                            <a:off x="0" y="0"/>
                            <a:ext cx="1809750" cy="1409700"/>
                          </a:xfrm>
                          <a:prstGeom prst="rect"/>
                        </pic:spPr>
                      </pic:pic>
                    </a:graphicData>
                  </a:graphic>
                </wp:inline>
              </w:drawing>
            </w:r>
          </w:p>
        </w:tc>
      </w:tr>
    </w:tbl>
    <w:p>
      <w:pPr>
        <w:pStyle w:val="style0"/>
        <w:spacing w:before="0" w:after="40"/>
        <w:rPr/>
      </w:pPr>
    </w:p>
    <w:p>
      <w:pPr>
        <w:pStyle w:val="style0"/>
        <w:spacing w:before="80" w:after="80"/>
        <w:jc w:val="center"/>
        <w:rPr/>
      </w:pPr>
      <w:r>
        <w:rPr/>
        <w:drawing>
          <wp:inline distL="0" distT="0" distB="0" distR="0">
            <wp:extent cx="2190750" cy="1638300"/>
            <wp:effectExtent l="0" t="0" r="0" b="0"/>
            <wp:docPr id="1035" name="" descr=""/>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1" cstate="print"/>
                    <a:srcRect l="0" t="0" r="0" b="0"/>
                    <a:stretch/>
                  </pic:blipFill>
                  <pic:spPr>
                    <a:xfrm rot="0">
                      <a:off x="0" y="0"/>
                      <a:ext cx="2190750" cy="1638300"/>
                    </a:xfrm>
                    <a:prstGeom prst="rect"/>
                  </pic:spPr>
                </pic:pic>
              </a:graphicData>
            </a:graphic>
          </wp:inline>
        </w:drawing>
      </w:r>
    </w:p>
    <w:p>
      <w:pPr>
        <w:pStyle w:val="style0"/>
        <w:pBdr>
          <w:bottom w:val="single" w:sz="3" w:space="1" w:color="d4a017"/>
        </w:pBdr>
        <w:spacing w:before="200" w:after="200"/>
        <w:rPr/>
      </w:pPr>
    </w:p>
    <w:p>
      <w:pPr>
        <w:pStyle w:val="style0"/>
        <w:spacing w:before="360" w:after="100"/>
        <w:rPr/>
      </w:pPr>
      <w:r>
        <w:rPr>
          <w:rFonts w:ascii="Arial" w:cs="Arial" w:eastAsia="Arial" w:hAnsi="Arial"/>
          <w:b/>
          <w:bCs/>
          <w:color w:val="d4a017"/>
          <w:sz w:val="26"/>
          <w:szCs w:val="26"/>
        </w:rPr>
        <w:t xml:space="preserve">■  </w:t>
      </w:r>
      <w:r>
        <w:rPr>
          <w:rFonts w:ascii="Arial" w:cs="Arial" w:eastAsia="Arial" w:hAnsi="Arial"/>
          <w:b/>
          <w:bCs/>
          <w:color w:val="1b6b3a"/>
          <w:sz w:val="26"/>
          <w:szCs w:val="26"/>
        </w:rPr>
        <w:t>6.  LOISIRS, CULTURE ET ENCADREMENT POSITIF</w:t>
      </w:r>
    </w:p>
    <w:p>
      <w:pPr>
        <w:pStyle w:val="style0"/>
        <w:spacing w:before="0" w:after="100"/>
        <w:rPr/>
      </w:pPr>
      <w:r>
        <w:rPr>
          <w:rFonts w:ascii="Arial" w:cs="Arial" w:eastAsia="Arial" w:hAnsi="Arial"/>
          <w:color w:val="2c2c2c"/>
          <w:sz w:val="21"/>
          <w:szCs w:val="21"/>
        </w:rPr>
        <w:t>Des programmes de loisirs et de divertissement seront organisés à travers :</w:t>
      </w:r>
    </w:p>
    <w:p>
      <w:pPr>
        <w:pStyle w:val="style179"/>
        <w:numPr>
          <w:ilvl w:val="0"/>
          <w:numId w:val="1"/>
        </w:numPr>
        <w:spacing w:before="40" w:after="60"/>
        <w:rPr/>
      </w:pPr>
      <w:r>
        <w:rPr>
          <w:rFonts w:ascii="Arial" w:cs="Arial" w:eastAsia="Arial" w:hAnsi="Arial"/>
          <w:color w:val="2c2c2c"/>
          <w:sz w:val="21"/>
          <w:szCs w:val="21"/>
        </w:rPr>
        <w:t>Des ateliers de compétences.</w:t>
      </w:r>
    </w:p>
    <w:p>
      <w:pPr>
        <w:pStyle w:val="style179"/>
        <w:numPr>
          <w:ilvl w:val="0"/>
          <w:numId w:val="1"/>
        </w:numPr>
        <w:spacing w:before="40" w:after="60"/>
        <w:rPr/>
      </w:pPr>
      <w:r>
        <w:rPr>
          <w:rFonts w:ascii="Arial" w:cs="Arial" w:eastAsia="Arial" w:hAnsi="Arial"/>
          <w:color w:val="2c2c2c"/>
          <w:sz w:val="21"/>
          <w:szCs w:val="21"/>
        </w:rPr>
        <w:t>Des programmes culturels.</w:t>
      </w:r>
    </w:p>
    <w:p>
      <w:pPr>
        <w:pStyle w:val="style179"/>
        <w:numPr>
          <w:ilvl w:val="0"/>
          <w:numId w:val="1"/>
        </w:numPr>
        <w:spacing w:before="40" w:after="60"/>
        <w:rPr/>
      </w:pPr>
      <w:r>
        <w:rPr>
          <w:rFonts w:ascii="Arial" w:cs="Arial" w:eastAsia="Arial" w:hAnsi="Arial"/>
          <w:color w:val="2c2c2c"/>
          <w:sz w:val="21"/>
          <w:szCs w:val="21"/>
        </w:rPr>
        <w:t>Des tournois sportifs.</w:t>
      </w:r>
    </w:p>
    <w:p>
      <w:pPr>
        <w:pStyle w:val="style179"/>
        <w:numPr>
          <w:ilvl w:val="0"/>
          <w:numId w:val="1"/>
        </w:numPr>
        <w:spacing w:before="40" w:after="60"/>
        <w:rPr/>
      </w:pPr>
      <w:r>
        <w:rPr>
          <w:rFonts w:ascii="Arial" w:cs="Arial" w:eastAsia="Arial" w:hAnsi="Arial"/>
          <w:color w:val="2c2c2c"/>
          <w:sz w:val="21"/>
          <w:szCs w:val="21"/>
        </w:rPr>
        <w:t>Des activités artistiques.</w:t>
      </w:r>
    </w:p>
    <w:p>
      <w:pPr>
        <w:pStyle w:val="style0"/>
        <w:spacing w:before="0" w:after="80"/>
        <w:rPr/>
      </w:pPr>
    </w:p>
    <w:p>
      <w:pPr>
        <w:pStyle w:val="style0"/>
        <w:spacing w:before="0" w:after="100"/>
        <w:rPr/>
      </w:pPr>
      <w:r>
        <w:rPr>
          <w:rFonts w:ascii="Arial" w:cs="Arial" w:eastAsia="Arial" w:hAnsi="Arial"/>
          <w:color w:val="2c2c2c"/>
          <w:sz w:val="21"/>
          <w:szCs w:val="21"/>
        </w:rPr>
        <w:t>Ces actions visent à développer les talents, occuper positivement les jeunes et prévenir l’oisivité et la délinquance juvénile.</w:t>
      </w:r>
    </w:p>
    <w:p>
      <w:pPr>
        <w:pStyle w:val="style0"/>
        <w:pBdr>
          <w:bottom w:val="single" w:sz="3" w:space="1" w:color="d4a017"/>
        </w:pBdr>
        <w:spacing w:before="200" w:after="200"/>
        <w:rPr/>
      </w:pPr>
    </w:p>
    <w:p>
      <w:pPr>
        <w:pStyle w:val="style0"/>
        <w:spacing w:before="360" w:after="100"/>
        <w:rPr/>
      </w:pPr>
      <w:r>
        <w:rPr>
          <w:rFonts w:ascii="Arial" w:cs="Arial" w:eastAsia="Arial" w:hAnsi="Arial"/>
          <w:b/>
          <w:bCs/>
          <w:color w:val="d4a017"/>
          <w:sz w:val="26"/>
          <w:szCs w:val="26"/>
        </w:rPr>
        <w:t xml:space="preserve">■  </w:t>
      </w:r>
      <w:r>
        <w:rPr>
          <w:rFonts w:ascii="Arial" w:cs="Arial" w:eastAsia="Arial" w:hAnsi="Arial"/>
          <w:b/>
          <w:bCs/>
          <w:color w:val="1b6b3a"/>
          <w:sz w:val="26"/>
          <w:szCs w:val="26"/>
        </w:rPr>
        <w:t>7.  RENTABILITÉ PRÉVISIONNELLE ET IMPACT SOCIAL</w:t>
      </w:r>
    </w:p>
    <w:p>
      <w:pPr>
        <w:pStyle w:val="style0"/>
        <w:spacing w:before="0" w:after="100"/>
        <w:rPr/>
      </w:pPr>
      <w:r>
        <w:rPr>
          <w:rFonts w:ascii="Arial" w:cs="Arial" w:eastAsia="Arial" w:hAnsi="Arial"/>
          <w:color w:val="2c2c2c"/>
          <w:sz w:val="21"/>
          <w:szCs w:val="21"/>
        </w:rPr>
        <w:t>Le projet agricole communautaire repose sur une logique de rentabilité progressive et réaliste.</w:t>
      </w:r>
    </w:p>
    <w:p>
      <w:pPr>
        <w:pStyle w:val="style0"/>
        <w:spacing w:before="0" w:after="12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4513"/>
        <w:gridCol w:w="4513"/>
      </w:tblGrid>
      <w:tr>
        <w:trPr/>
        <w:tc>
          <w:tcPr>
            <w:tcW w:w="4513" w:type="dxa"/>
            <w:tcBorders>
              <w:top w:val="single" w:sz="4" w:space="0" w:color="1b6b3a"/>
              <w:left w:val="single" w:sz="4" w:space="0" w:color="1b6b3a"/>
              <w:bottom w:val="single" w:sz="4" w:space="0" w:color="1b6b3a"/>
              <w:right w:val="single" w:sz="1" w:space="0" w:color="cccccc"/>
            </w:tcBorders>
            <w:shd w:val="clear" w:color="auto" w:fill="1b6b3a"/>
            <w:tcMar>
              <w:top w:w="110" w:type="dxa"/>
              <w:left w:w="160" w:type="dxa"/>
              <w:bottom w:w="110" w:type="dxa"/>
              <w:right w:w="160" w:type="dxa"/>
            </w:tcMar>
          </w:tcPr>
          <w:p>
            <w:pPr>
              <w:pStyle w:val="style0"/>
              <w:jc w:val="center"/>
              <w:rPr/>
            </w:pPr>
            <w:r>
              <w:rPr>
                <w:rFonts w:ascii="Arial" w:cs="Arial" w:eastAsia="Arial" w:hAnsi="Arial"/>
                <w:b/>
                <w:bCs/>
                <w:color w:val="ffffff"/>
                <w:sz w:val="22"/>
                <w:szCs w:val="22"/>
              </w:rPr>
              <w:t>PÉRIODE</w:t>
            </w:r>
          </w:p>
        </w:tc>
        <w:tc>
          <w:tcPr>
            <w:tcW w:w="4513" w:type="dxa"/>
            <w:tcBorders>
              <w:top w:val="single" w:sz="4" w:space="0" w:color="1b6b3a"/>
              <w:left w:val="single" w:sz="1" w:space="0" w:color="cccccc"/>
              <w:bottom w:val="single" w:sz="4" w:space="0" w:color="1b6b3a"/>
              <w:right w:val="single" w:sz="4" w:space="0" w:color="1b6b3a"/>
            </w:tcBorders>
            <w:shd w:val="clear" w:color="auto" w:fill="1b6b3a"/>
            <w:tcMar>
              <w:top w:w="110" w:type="dxa"/>
              <w:left w:w="160" w:type="dxa"/>
              <w:bottom w:w="110" w:type="dxa"/>
              <w:right w:w="160" w:type="dxa"/>
            </w:tcMar>
          </w:tcPr>
          <w:p>
            <w:pPr>
              <w:pStyle w:val="style0"/>
              <w:jc w:val="center"/>
              <w:rPr/>
            </w:pPr>
            <w:r>
              <w:rPr>
                <w:rFonts w:ascii="Arial" w:cs="Arial" w:eastAsia="Arial" w:hAnsi="Arial"/>
                <w:b/>
                <w:bCs/>
                <w:color w:val="ffffff"/>
                <w:sz w:val="22"/>
                <w:szCs w:val="22"/>
              </w:rPr>
              <w:t>BÉNÉFICE ESTIMÉ</w:t>
            </w:r>
          </w:p>
        </w:tc>
      </w:tr>
      <w:tr>
        <w:tblPrEx/>
        <w:trPr/>
        <w:tc>
          <w:tcPr>
            <w:tcW w:w="4513" w:type="dxa"/>
            <w:tcBorders>
              <w:top w:val="single" w:sz="1" w:space="0" w:color="cccccc"/>
              <w:left w:val="single" w:sz="4" w:space="0" w:color="1b6b3a"/>
              <w:bottom w:val="single" w:sz="1" w:space="0" w:color="cccccc"/>
              <w:right w:val="single" w:sz="1" w:space="0" w:color="cccccc"/>
            </w:tcBorders>
            <w:shd w:val="clear" w:color="auto" w:fill="e8f5ed"/>
            <w:tcMar>
              <w:top w:w="110" w:type="dxa"/>
              <w:left w:w="160" w:type="dxa"/>
              <w:bottom w:w="110" w:type="dxa"/>
              <w:right w:w="160" w:type="dxa"/>
            </w:tcMar>
          </w:tcPr>
          <w:p>
            <w:pPr>
              <w:pStyle w:val="style0"/>
              <w:jc w:val="center"/>
              <w:rPr/>
            </w:pPr>
            <w:r>
              <w:rPr>
                <w:rFonts w:ascii="Arial" w:cs="Arial" w:eastAsia="Arial" w:hAnsi="Arial"/>
                <w:color w:val="2c2c2c"/>
                <w:sz w:val="21"/>
                <w:szCs w:val="21"/>
              </w:rPr>
              <w:t>Par trimestre</w:t>
            </w:r>
          </w:p>
        </w:tc>
        <w:tc>
          <w:tcPr>
            <w:tcW w:w="4513" w:type="dxa"/>
            <w:tcBorders>
              <w:top w:val="single" w:sz="1" w:space="0" w:color="cccccc"/>
              <w:left w:val="single" w:sz="1" w:space="0" w:color="cccccc"/>
              <w:bottom w:val="single" w:sz="1" w:space="0" w:color="cccccc"/>
              <w:right w:val="single" w:sz="4" w:space="0" w:color="1b6b3a"/>
            </w:tcBorders>
            <w:shd w:val="clear" w:color="auto" w:fill="e8f5ed"/>
            <w:tcMar>
              <w:top w:w="110" w:type="dxa"/>
              <w:left w:w="160" w:type="dxa"/>
              <w:bottom w:w="110" w:type="dxa"/>
              <w:right w:w="160" w:type="dxa"/>
            </w:tcMar>
          </w:tcPr>
          <w:p>
            <w:pPr>
              <w:pStyle w:val="style0"/>
              <w:jc w:val="center"/>
              <w:rPr/>
            </w:pPr>
            <w:r>
              <w:rPr>
                <w:rFonts w:ascii="Arial" w:cs="Arial" w:eastAsia="Arial" w:hAnsi="Arial"/>
                <w:b/>
                <w:bCs/>
                <w:color w:val="1b6b3a"/>
                <w:sz w:val="21"/>
                <w:szCs w:val="21"/>
              </w:rPr>
              <w:t>5 000 000 — 10 000 000 FCFA</w:t>
            </w:r>
          </w:p>
        </w:tc>
      </w:tr>
      <w:tr>
        <w:tblPrEx/>
        <w:trPr/>
        <w:tc>
          <w:tcPr>
            <w:tcW w:w="4513" w:type="dxa"/>
            <w:tcBorders>
              <w:top w:val="single" w:sz="1" w:space="0" w:color="cccccc"/>
              <w:left w:val="single" w:sz="4" w:space="0" w:color="1b6b3a"/>
              <w:bottom w:val="single" w:sz="4" w:space="0" w:color="1b6b3a"/>
              <w:right w:val="single" w:sz="1" w:space="0" w:color="cccccc"/>
            </w:tcBorders>
            <w:tcMar>
              <w:top w:w="110" w:type="dxa"/>
              <w:left w:w="160" w:type="dxa"/>
              <w:bottom w:w="110" w:type="dxa"/>
              <w:right w:w="160" w:type="dxa"/>
            </w:tcMar>
          </w:tcPr>
          <w:p>
            <w:pPr>
              <w:pStyle w:val="style0"/>
              <w:jc w:val="center"/>
              <w:rPr/>
            </w:pPr>
            <w:r>
              <w:rPr>
                <w:rFonts w:ascii="Arial" w:cs="Arial" w:eastAsia="Arial" w:hAnsi="Arial"/>
                <w:color w:val="2c2c2c"/>
                <w:sz w:val="21"/>
                <w:szCs w:val="21"/>
              </w:rPr>
              <w:t>Par an (base prudente)</w:t>
            </w:r>
          </w:p>
        </w:tc>
        <w:tc>
          <w:tcPr>
            <w:tcW w:w="4513" w:type="dxa"/>
            <w:tcBorders>
              <w:top w:val="single" w:sz="1" w:space="0" w:color="cccccc"/>
              <w:left w:val="single" w:sz="1" w:space="0" w:color="cccccc"/>
              <w:bottom w:val="single" w:sz="4" w:space="0" w:color="1b6b3a"/>
              <w:right w:val="single" w:sz="4" w:space="0" w:color="1b6b3a"/>
            </w:tcBorders>
            <w:tcMar>
              <w:top w:w="110" w:type="dxa"/>
              <w:left w:w="160" w:type="dxa"/>
              <w:bottom w:w="110" w:type="dxa"/>
              <w:right w:w="160" w:type="dxa"/>
            </w:tcMar>
          </w:tcPr>
          <w:p>
            <w:pPr>
              <w:pStyle w:val="style0"/>
              <w:jc w:val="center"/>
              <w:rPr/>
            </w:pPr>
            <w:r>
              <w:rPr>
                <w:rFonts w:ascii="Arial" w:cs="Arial" w:eastAsia="Arial" w:hAnsi="Arial"/>
                <w:b/>
                <w:bCs/>
                <w:color w:val="c0392b"/>
                <w:sz w:val="21"/>
                <w:szCs w:val="21"/>
              </w:rPr>
              <w:t>20 000 000 FCFA</w:t>
            </w:r>
          </w:p>
        </w:tc>
      </w:tr>
    </w:tbl>
    <w:p>
      <w:pPr>
        <w:pStyle w:val="style0"/>
        <w:spacing w:before="0" w:after="160"/>
        <w:rPr/>
      </w:pPr>
    </w:p>
    <w:p>
      <w:pPr>
        <w:pStyle w:val="style0"/>
        <w:spacing w:before="200" w:after="80"/>
        <w:ind w:left="300"/>
        <w:rPr/>
      </w:pPr>
      <w:r>
        <w:rPr>
          <w:rFonts w:ascii="Arial" w:cs="Arial" w:eastAsia="Arial" w:hAnsi="Arial"/>
          <w:b/>
          <w:bCs/>
          <w:color w:val="d4a017"/>
          <w:sz w:val="22"/>
          <w:szCs w:val="22"/>
        </w:rPr>
        <w:t xml:space="preserve">▸  </w:t>
      </w:r>
      <w:r>
        <w:rPr>
          <w:rFonts w:ascii="Arial" w:cs="Arial" w:eastAsia="Arial" w:hAnsi="Arial"/>
          <w:b/>
          <w:bCs/>
          <w:color w:val="2c2c2c"/>
          <w:sz w:val="22"/>
          <w:szCs w:val="22"/>
        </w:rPr>
        <w:t>Répartition des bénéfices</w:t>
      </w:r>
    </w:p>
    <w:p>
      <w:pPr>
        <w:pStyle w:val="style179"/>
        <w:numPr>
          <w:ilvl w:val="0"/>
          <w:numId w:val="1"/>
        </w:numPr>
        <w:spacing w:before="40" w:after="60"/>
        <w:rPr/>
      </w:pPr>
      <w:r>
        <w:rPr>
          <w:rFonts w:ascii="Arial" w:cs="Arial" w:eastAsia="Arial" w:hAnsi="Arial"/>
          <w:color w:val="2c2c2c"/>
          <w:sz w:val="21"/>
          <w:szCs w:val="21"/>
        </w:rPr>
        <w:t>Une partie sera réinvestie dans l’entreprise pour assurer sa croissance.</w:t>
      </w:r>
    </w:p>
    <w:p>
      <w:pPr>
        <w:pStyle w:val="style179"/>
        <w:numPr>
          <w:ilvl w:val="0"/>
          <w:numId w:val="1"/>
        </w:numPr>
        <w:spacing w:before="40" w:after="60"/>
        <w:rPr/>
      </w:pPr>
      <w:r>
        <w:rPr>
          <w:rFonts w:ascii="Arial" w:cs="Arial" w:eastAsia="Arial" w:hAnsi="Arial"/>
          <w:color w:val="2c2c2c"/>
          <w:sz w:val="21"/>
          <w:szCs w:val="21"/>
        </w:rPr>
        <w:t>L’autre partie sera consacrée au financement des actions communautaires.</w:t>
      </w:r>
    </w:p>
    <w:p>
      <w:pPr>
        <w:pStyle w:val="style0"/>
        <w:spacing w:before="0" w:after="80"/>
        <w:rPr/>
      </w:pPr>
    </w:p>
    <w:p>
      <w:pPr>
        <w:pStyle w:val="style0"/>
        <w:spacing w:before="0" w:after="100"/>
        <w:rPr/>
      </w:pPr>
      <w:r>
        <w:rPr>
          <w:rFonts w:ascii="Arial" w:cs="Arial" w:eastAsia="Arial" w:hAnsi="Arial"/>
          <w:color w:val="2c2c2c"/>
          <w:sz w:val="21"/>
          <w:szCs w:val="21"/>
        </w:rPr>
        <w:t>Selon les revenus de départ, le projet permettra d’accompagner entre 10 et 50 jeunes lors de la première phase. Une évaluation complète sera ensuite réalisée afin d’ajuster les stratégies, améliorer la gestion et augmenter le nombre de bénéficiaires.</w:t>
      </w:r>
    </w:p>
    <w:p>
      <w:pPr>
        <w:pStyle w:val="style0"/>
        <w:pBdr>
          <w:bottom w:val="single" w:sz="3" w:space="1" w:color="d4a017"/>
        </w:pBdr>
        <w:spacing w:before="200" w:after="20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none" w:sz="4" w:space="0" w:color="auto"/>
              <w:left w:val="none" w:sz="4" w:space="0" w:color="auto"/>
              <w:bottom w:val="none" w:sz="4" w:space="0" w:color="auto"/>
              <w:right w:val="none" w:sz="4" w:space="0" w:color="auto"/>
            </w:tcBorders>
            <w:shd w:val="clear" w:color="auto" w:fill="1b6b3a"/>
            <w:tcMar>
              <w:top w:w="160" w:type="dxa"/>
              <w:left w:w="300" w:type="dxa"/>
              <w:bottom w:w="160" w:type="dxa"/>
              <w:right w:w="300" w:type="dxa"/>
            </w:tcMar>
          </w:tcPr>
          <w:p>
            <w:pPr>
              <w:pStyle w:val="style0"/>
              <w:jc w:val="center"/>
              <w:rPr/>
            </w:pPr>
            <w:r>
              <w:rPr>
                <w:rFonts w:ascii="Arial" w:cs="Arial" w:eastAsia="Arial" w:hAnsi="Arial"/>
                <w:b/>
                <w:bCs/>
                <w:color w:val="ffffff"/>
                <w:sz w:val="24"/>
                <w:szCs w:val="24"/>
              </w:rPr>
              <w:t>ENGAGEMENT DE L’ÉQUIPE</w:t>
            </w:r>
          </w:p>
        </w:tc>
      </w:tr>
    </w:tbl>
    <w:p>
      <w:pPr>
        <w:pStyle w:val="style0"/>
        <w:spacing w:before="0" w:after="180"/>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9026"/>
      </w:tblGrid>
      <w:tr>
        <w:trPr/>
        <w:tc>
          <w:tcPr>
            <w:tcW w:w="9026" w:type="dxa"/>
            <w:tcBorders>
              <w:top w:val="single" w:sz="4" w:space="0" w:color="1b6b3a"/>
              <w:left w:val="thick" w:sz="14" w:space="0" w:color="d4a017"/>
              <w:bottom w:val="single" w:sz="4" w:space="0" w:color="1b6b3a"/>
              <w:right w:val="single" w:sz="1" w:space="0" w:color="cccccc"/>
            </w:tcBorders>
            <w:shd w:val="clear" w:color="auto" w:fill="e8f5ed"/>
            <w:tcMar>
              <w:top w:w="140" w:type="dxa"/>
              <w:left w:w="240" w:type="dxa"/>
              <w:bottom w:w="140" w:type="dxa"/>
              <w:right w:w="160" w:type="dxa"/>
            </w:tcMar>
          </w:tcPr>
          <w:p>
            <w:pPr>
              <w:pStyle w:val="style0"/>
              <w:spacing w:before="40" w:after="60"/>
              <w:rPr/>
            </w:pPr>
            <w:r>
              <w:rPr>
                <w:rFonts w:ascii="Arial" w:cs="Arial" w:eastAsia="Arial" w:hAnsi="Arial"/>
                <w:i/>
                <w:iCs/>
                <w:color w:val="2c2c2c"/>
                <w:sz w:val="21"/>
                <w:szCs w:val="21"/>
              </w:rPr>
              <w:t>« Nous sommes jeunes, nous connaissons les réalités du terrain et nous sommes</w:t>
            </w:r>
          </w:p>
          <w:p>
            <w:pPr>
              <w:pStyle w:val="style0"/>
              <w:spacing w:before="40" w:after="60"/>
              <w:rPr/>
            </w:pPr>
            <w:r>
              <w:rPr>
                <w:rFonts w:ascii="Arial" w:cs="Arial" w:eastAsia="Arial" w:hAnsi="Arial"/>
                <w:i/>
                <w:iCs/>
                <w:color w:val="2c2c2c"/>
                <w:sz w:val="21"/>
                <w:szCs w:val="21"/>
              </w:rPr>
              <w:t>déterminés à agir. Aimer le Cameroun, c’est investir dans sa jeunesse.</w:t>
            </w:r>
          </w:p>
          <w:p>
            <w:pPr>
              <w:pStyle w:val="style0"/>
              <w:spacing w:before="40" w:after="60"/>
              <w:rPr/>
            </w:pPr>
            <w:r>
              <w:rPr>
                <w:rFonts w:ascii="Arial" w:cs="Arial" w:eastAsia="Arial" w:hAnsi="Arial"/>
                <w:i/>
                <w:iCs/>
                <w:color w:val="2c2c2c"/>
                <w:sz w:val="21"/>
                <w:szCs w:val="21"/>
              </w:rPr>
              <w:t>Nous accorder votre confiance, c’est choisir une représentation jeune, engagée et efficace. »</w:t>
            </w:r>
          </w:p>
        </w:tc>
      </w:tr>
    </w:tbl>
    <w:p>
      <w:pPr>
        <w:pStyle w:val="style0"/>
        <w:spacing w:before="0" w:after="240"/>
        <w:rPr/>
      </w:pPr>
    </w:p>
    <w:p>
      <w:pPr>
        <w:pStyle w:val="style0"/>
        <w:spacing w:before="0" w:after="40"/>
        <w:jc w:val="right"/>
        <w:rPr/>
      </w:pPr>
      <w:r>
        <w:rPr>
          <w:rFonts w:ascii="Arial" w:cs="Arial" w:eastAsia="Arial" w:hAnsi="Arial"/>
          <w:b/>
          <w:bCs/>
          <w:color w:val="1b6b3a"/>
          <w:sz w:val="22"/>
          <w:szCs w:val="22"/>
        </w:rPr>
        <w:t>KEMMOGNE SACDO MENERE BRUNO FRANCK</w:t>
      </w:r>
    </w:p>
    <w:p>
      <w:pPr>
        <w:pStyle w:val="style0"/>
        <w:spacing w:before="0" w:after="40"/>
        <w:jc w:val="right"/>
        <w:rPr/>
      </w:pPr>
      <w:r>
        <w:rPr>
          <w:rFonts w:ascii="Arial" w:cs="Arial" w:eastAsia="Arial" w:hAnsi="Arial"/>
          <w:i/>
          <w:iCs/>
          <w:color w:val="666666"/>
          <w:sz w:val="20"/>
          <w:szCs w:val="20"/>
        </w:rPr>
        <w:t>Député Panafricain Junior  |  L’Honorable Franck KEMMOGNE</w:t>
      </w:r>
    </w:p>
    <w:p>
      <w:pPr>
        <w:pStyle w:val="style0"/>
        <w:spacing w:before="0" w:after="80"/>
        <w:rPr/>
      </w:pPr>
    </w:p>
    <w:p>
      <w:pPr>
        <w:pStyle w:val="style0"/>
        <w:pBdr>
          <w:top w:val="single" w:sz="2" w:space="4" w:color="666666"/>
        </w:pBdr>
        <w:spacing w:before="80" w:after="0"/>
        <w:jc w:val="right"/>
        <w:rPr/>
      </w:pPr>
      <w:r>
        <w:rPr>
          <w:rFonts w:ascii="Arial" w:cs="Arial" w:eastAsia="Arial" w:hAnsi="Arial"/>
          <w:color w:val="666666"/>
          <w:sz w:val="20"/>
          <w:szCs w:val="20"/>
        </w:rPr>
        <w:t>Signature : _______________________________</w:t>
      </w:r>
    </w:p>
    <w:sectPr>
      <w:pgSz w:w="11906" w:h="16838" w:orient="portrait"/>
      <w:pgMar w:top="1000" w:right="1080" w:bottom="1000" w:left="1080" w:header="708" w:footer="708"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tentative="1">
      <w:start w:val="1"/>
      <w:numFmt w:val="bullet"/>
      <w:lvlText w:val="●"/>
      <w:lvlJc w:val="left"/>
      <w:pPr>
        <w:ind w:left="720" w:hanging="360"/>
      </w:pPr>
    </w:lvl>
    <w:lvl w:ilvl="1" w:tentative="1">
      <w:start w:val="1"/>
      <w:numFmt w:val="bullet"/>
      <w:lvlText w:val="○"/>
      <w:lvlJc w:val="left"/>
      <w:pPr>
        <w:ind w:left="1440" w:hanging="360"/>
      </w:pPr>
    </w:lvl>
    <w:lvl w:ilvl="2" w:tentative="1">
      <w:start w:val="1"/>
      <w:numFmt w:val="bullet"/>
      <w:lvlText w:val="■"/>
      <w:lvlJc w:val="left"/>
      <w:pPr>
        <w:ind w:left="2160" w:hanging="360"/>
      </w:pPr>
    </w:lvl>
    <w:lvl w:ilvl="3" w:tentative="1">
      <w:start w:val="1"/>
      <w:numFmt w:val="bullet"/>
      <w:lvlText w:val="●"/>
      <w:lvlJc w:val="left"/>
      <w:pPr>
        <w:ind w:left="2880" w:hanging="360"/>
      </w:pPr>
    </w:lvl>
    <w:lvl w:ilvl="4" w:tentative="1">
      <w:start w:val="1"/>
      <w:numFmt w:val="bullet"/>
      <w:lvlText w:val="○"/>
      <w:lvlJc w:val="left"/>
      <w:pPr>
        <w:ind w:left="3600" w:hanging="360"/>
      </w:pPr>
    </w:lvl>
    <w:lvl w:ilvl="5" w:tentative="1">
      <w:start w:val="1"/>
      <w:numFmt w:val="bullet"/>
      <w:lvlText w:val="■"/>
      <w:lvlJc w:val="left"/>
      <w:pPr>
        <w:ind w:left="4320" w:hanging="360"/>
      </w:pPr>
    </w:lvl>
    <w:lvl w:ilvl="6" w:tentative="1">
      <w:start w:val="1"/>
      <w:numFmt w:val="bullet"/>
      <w:lvlText w:val="●"/>
      <w:lvlJc w:val="left"/>
      <w:pPr>
        <w:ind w:left="5040" w:hanging="360"/>
      </w:pPr>
    </w:lvl>
    <w:lvl w:ilvl="7" w:tentative="1">
      <w:start w:val="1"/>
      <w:numFmt w:val="bullet"/>
      <w:lvlText w:val="●"/>
      <w:lvlJc w:val="left"/>
      <w:pPr>
        <w:ind w:left="5760" w:hanging="360"/>
      </w:pPr>
    </w:lvl>
    <w:lvl w:ilvl="8" w:tentative="1">
      <w:start w:val="1"/>
      <w:numFmt w:val="bullet"/>
      <w:lvlText w:val="●"/>
      <w:lvlJc w:val="left"/>
      <w:pPr>
        <w:ind w:left="6480" w:hanging="360"/>
      </w:pPr>
    </w:lvl>
  </w:abstractNum>
  <w:abstractNum w:abstractNumId="1">
    <w:nsid w:val="00000001"/>
    <w:multiLevelType w:val="hybridMultilevel"/>
    <w:tmpl w:val="FFFFFFFF"/>
    <w:lvl w:ilvl="0" w:tentative="1">
      <w:start w:val="1"/>
      <w:numFmt w:val="bullet"/>
      <w:lvlText w:val="✔"/>
      <w:lvlJc w:val="left"/>
      <w:pPr>
        <w:ind w:left="600" w:hanging="320"/>
      </w:pPr>
      <w:rPr>
        <w:rFonts w:ascii="Arial" w:cs="Arial" w:eastAsia="Arial" w:hAnsi="Arial"/>
        <w:color w:val="1b6b3a"/>
        <w:sz w:val="21"/>
        <w:szCs w:val="21"/>
      </w:rPr>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compat>
    <w:compatSetting w:name="compatibilityMode" w:uri="http://schemas.microsoft.com/office/word" w:val="15"/>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Arial" w:cs="Arial" w:eastAsia="Arial" w:hAnsi="Arial"/>
        <w:color w:val="2c2c2c"/>
        <w:sz w:val="21"/>
        <w:szCs w:val="21"/>
      </w:rPr>
    </w:rPrDefault>
    <w:pPrDefault>
      <w:pPr/>
    </w:pPrDefault>
  </w:docDefaults>
  <w:style w:type="paragraph" w:styleId="style62">
    <w:name w:val="Title"/>
    <w:next w:val="style62"/>
    <w:qFormat/>
    <w:pPr/>
    <w:rPr>
      <w:sz w:val="56"/>
      <w:szCs w:val="56"/>
    </w:rPr>
  </w:style>
  <w:style w:type="paragraph" w:customStyle="1" w:styleId="style4097">
    <w:name w:val="Heading 1"/>
    <w:next w:val="style4097"/>
    <w:qFormat/>
    <w:pPr/>
    <w:rPr>
      <w:color w:val="2e74b5"/>
      <w:sz w:val="32"/>
      <w:szCs w:val="32"/>
    </w:rPr>
  </w:style>
  <w:style w:type="paragraph" w:customStyle="1" w:styleId="style4098">
    <w:name w:val="Heading 2"/>
    <w:next w:val="style4098"/>
    <w:qFormat/>
    <w:pPr/>
    <w:rPr>
      <w:color w:val="2e74b5"/>
      <w:sz w:val="26"/>
      <w:szCs w:val="26"/>
    </w:rPr>
  </w:style>
  <w:style w:type="paragraph" w:customStyle="1" w:styleId="style4099">
    <w:name w:val="Heading 3"/>
    <w:next w:val="style4099"/>
    <w:qFormat/>
    <w:pPr/>
    <w:rPr>
      <w:color w:val="1f4d78"/>
      <w:sz w:val="24"/>
      <w:szCs w:val="24"/>
    </w:rPr>
  </w:style>
  <w:style w:type="paragraph" w:customStyle="1" w:styleId="style4100">
    <w:name w:val="Heading 4"/>
    <w:next w:val="style4100"/>
    <w:qFormat/>
    <w:pPr/>
    <w:rPr>
      <w:i/>
      <w:iCs/>
      <w:color w:val="2e74b5"/>
    </w:rPr>
  </w:style>
  <w:style w:type="paragraph" w:customStyle="1" w:styleId="style4101">
    <w:name w:val="Heading 5"/>
    <w:next w:val="style4101"/>
    <w:qFormat/>
    <w:pPr/>
    <w:rPr>
      <w:color w:val="2e74b5"/>
    </w:rPr>
  </w:style>
  <w:style w:type="paragraph" w:customStyle="1" w:styleId="style4102">
    <w:name w:val="Heading 6"/>
    <w:next w:val="style4102"/>
    <w:qFormat/>
    <w:pPr/>
    <w:rPr>
      <w:color w:val="1f4d78"/>
    </w:rPr>
  </w:style>
  <w:style w:type="paragraph" w:customStyle="1" w:styleId="style4103">
    <w:name w:val="Strong_1424c7ff-0277-4284-a97e-d233d847333d"/>
    <w:next w:val="style4103"/>
    <w:qFormat/>
    <w:pPr/>
    <w:rPr>
      <w:b/>
      <w:bCs/>
    </w:rPr>
  </w:style>
  <w:style w:type="paragraph" w:styleId="style179">
    <w:name w:val="List Paragraph"/>
    <w:next w:val="style179"/>
    <w:qFormat/>
    <w:pPr/>
  </w:style>
  <w:style w:type="character" w:styleId="style85">
    <w:name w:val="Hyperlink"/>
    <w:next w:val="style85"/>
    <w:uiPriority w:val="99"/>
    <w:rPr>
      <w:color w:val="0563c1"/>
      <w:u w:val="single"/>
    </w:rPr>
  </w:style>
  <w:style w:type="character" w:styleId="style38">
    <w:name w:val="footnote reference"/>
    <w:next w:val="style38"/>
    <w:uiPriority w:val="99"/>
    <w:rPr>
      <w:vertAlign w:val="superscript"/>
    </w:rPr>
  </w:style>
  <w:style w:type="paragraph" w:styleId="style29">
    <w:name w:val="footnote text"/>
    <w:next w:val="style29"/>
    <w:link w:val="style4104"/>
    <w:uiPriority w:val="99"/>
    <w:pPr>
      <w:spacing w:after="0" w:lineRule="auto" w:line="240"/>
    </w:pPr>
    <w:rPr>
      <w:sz w:val="20"/>
      <w:szCs w:val="20"/>
    </w:rPr>
  </w:style>
  <w:style w:type="character" w:customStyle="1" w:styleId="style4104">
    <w:name w:val="Footnote Text Char"/>
    <w:next w:val="style4104"/>
    <w:link w:val="style29"/>
    <w:uiPriority w:val="99"/>
    <w:rPr>
      <w:sz w:val="20"/>
      <w:szCs w:val="20"/>
    </w:rPr>
  </w:style>
  <w:style w:type="character" w:styleId="style42">
    <w:name w:val="endnote reference"/>
    <w:next w:val="style42"/>
    <w:uiPriority w:val="99"/>
    <w:rPr>
      <w:vertAlign w:val="superscript"/>
    </w:rPr>
  </w:style>
  <w:style w:type="paragraph" w:styleId="style43">
    <w:name w:val="endnote text"/>
    <w:next w:val="style43"/>
    <w:link w:val="style4105"/>
    <w:uiPriority w:val="99"/>
    <w:pPr>
      <w:spacing w:after="0" w:lineRule="auto" w:line="240"/>
    </w:pPr>
    <w:rPr>
      <w:sz w:val="20"/>
      <w:szCs w:val="20"/>
    </w:rPr>
  </w:style>
  <w:style w:type="character" w:customStyle="1" w:styleId="style4105">
    <w:name w:val="Endnote Text Char"/>
    <w:next w:val="style4105"/>
    <w:link w:val="style43"/>
    <w:uiPriority w:val="99"/>
    <w:rPr>
      <w:sz w:val="20"/>
      <w:szCs w:val="20"/>
    </w:rPr>
  </w:style>
  <w:style w:type="paragraph" w:default="1" w:styleId="style0">
    <w:name w:val="Normal"/>
    <w:pPr>
      <w:jc w:val="both"/>
    </w:pPr>
    <w:rPr>
      <w:sz w:val="21"/>
    </w:rPr>
  </w:style>
</w:styles>
</file>

<file path=word/_rels/document.xml.rels><?xml version="1.0" encoding="UTF-8"?>
<Relationships xmlns="http://schemas.openxmlformats.org/package/2006/relationships"><Relationship Id="rId11" Type="http://schemas.openxmlformats.org/officeDocument/2006/relationships/image" Target="media/image10.png"/><Relationship Id="rId10" Type="http://schemas.openxmlformats.org/officeDocument/2006/relationships/image" Target="media/image9.png"/><Relationship Id="rId13" Type="http://schemas.openxmlformats.org/officeDocument/2006/relationships/fontTable" Target="fontTable.xml"/><Relationship Id="rId12" Type="http://schemas.openxmlformats.org/officeDocument/2006/relationships/styles" Target="styles.xml"/><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png"/><Relationship Id="rId9" Type="http://schemas.openxmlformats.org/officeDocument/2006/relationships/image" Target="media/image8.png"/><Relationship Id="rId15" Type="http://schemas.openxmlformats.org/officeDocument/2006/relationships/theme" Target="theme/theme1.xml"/><Relationship Id="rId14" Type="http://schemas.openxmlformats.org/officeDocument/2006/relationships/settings" Target="settings.xml"/><Relationship Id="rId5" Type="http://schemas.openxmlformats.org/officeDocument/2006/relationships/image" Target="media/image4.png"/><Relationship Id="rId6" Type="http://schemas.openxmlformats.org/officeDocument/2006/relationships/image" Target="media/image5.png"/><Relationship Id="rId7" Type="http://schemas.openxmlformats.org/officeDocument/2006/relationships/image" Target="media/image6.png"/><Relationship Id="rId8"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847</Words>
  <Characters>5163</Characters>
  <Application>WPS Office</Application>
  <Paragraphs>149</Paragraphs>
  <CharactersWithSpaces>5960</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2026-05-16T06:46:57Z</dcterms:created>
  <dc:creator>Un-named</dc:creator>
  <lastModifiedBy>2409BRN2CA</lastModifiedBy>
  <dcterms:modified xsi:type="dcterms:W3CDTF">2026-05-16T06:46:57Z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a33bebabc30947728a1eb4de54fe7cb2</vt:lpwstr>
  </property>
</Properties>
</file>