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before="0" w:after="80"/>
        <w:rPr/>
      </w:pPr>
    </w:p>
    <w:p>
      <w:pPr>
        <w:pStyle w:val="style0"/>
        <w:spacing w:before="0" w:after="40"/>
        <w:jc w:val="center"/>
        <w:rPr/>
      </w:pPr>
      <w:r>
        <w:rPr>
          <w:rFonts w:ascii="Arial" w:cs="Arial" w:eastAsia="Arial" w:hAnsi="Arial"/>
          <w:b/>
          <w:bCs/>
          <w:color w:val="666666"/>
          <w:sz w:val="20"/>
          <w:szCs w:val="20"/>
        </w:rPr>
        <w:t>REPUBLIC OF CAMEROON  /  REPUBLIQUE DU CAMEROUN</w:t>
      </w:r>
    </w:p>
    <w:p>
      <w:pPr>
        <w:pStyle w:val="style0"/>
        <w:spacing w:before="0" w:after="40"/>
        <w:jc w:val="center"/>
        <w:rPr/>
      </w:pPr>
      <w:r>
        <w:rPr>
          <w:rFonts w:ascii="Arial" w:cs="Arial" w:eastAsia="Arial" w:hAnsi="Arial"/>
          <w:i/>
          <w:iCs/>
          <w:color w:val="666666"/>
          <w:sz w:val="18"/>
          <w:szCs w:val="18"/>
        </w:rPr>
        <w:t>Peace – Work – Fatherland  •  Paix – Travail – Patrie</w:t>
      </w:r>
    </w:p>
    <w:p>
      <w:pPr>
        <w:pStyle w:val="style0"/>
        <w:pBdr>
          <w:bottom w:val="single" w:sz="6" w:space="2" w:color="c8960c"/>
        </w:pBdr>
        <w:spacing w:before="0" w:after="200"/>
        <w:jc w:val="center"/>
        <w:rPr/>
      </w:pPr>
    </w:p>
    <w:p>
      <w:pPr>
        <w:pStyle w:val="style0"/>
        <w:spacing w:before="0" w:after="200"/>
        <w:rPr/>
      </w:pPr>
    </w:p>
    <w:p>
      <w:pPr>
        <w:pStyle w:val="style0"/>
        <w:spacing w:before="0" w:after="60"/>
        <w:jc w:val="center"/>
        <w:rPr/>
      </w:pPr>
      <w:r>
        <w:rPr>
          <w:rFonts w:ascii="Arial" w:cs="Arial" w:eastAsia="Arial" w:hAnsi="Arial"/>
          <w:b/>
          <w:bCs/>
          <w:color w:val="1a3a5c"/>
          <w:sz w:val="48"/>
          <w:szCs w:val="48"/>
        </w:rPr>
        <w:t>BUSINESS PLAN</w:t>
      </w:r>
    </w:p>
    <w:p>
      <w:pPr>
        <w:pStyle w:val="style0"/>
        <w:spacing w:before="0" w:after="60"/>
        <w:jc w:val="center"/>
        <w:rPr/>
      </w:pPr>
      <w:r>
        <w:rPr>
          <w:rFonts w:ascii="Arial" w:cs="Arial" w:eastAsia="Arial" w:hAnsi="Arial"/>
          <w:b/>
          <w:bCs/>
          <w:color w:val="c8960c"/>
          <w:sz w:val="28"/>
          <w:szCs w:val="28"/>
        </w:rPr>
        <w:t>PROJET DE SOCIÉTÉ COMMUNAUTAIRE</w:t>
      </w:r>
    </w:p>
    <w:p>
      <w:pPr>
        <w:pStyle w:val="style0"/>
        <w:spacing w:before="0" w:after="300"/>
        <w:jc w:val="center"/>
        <w:rPr/>
      </w:pPr>
      <w:r>
        <w:rPr>
          <w:rFonts w:ascii="Arial" w:cs="Arial" w:eastAsia="Arial" w:hAnsi="Arial"/>
          <w:b/>
          <w:bCs/>
          <w:color w:val="1a3a5c"/>
          <w:sz w:val="32"/>
          <w:szCs w:val="32"/>
        </w:rPr>
        <w:t>COMMUNITY SARL</w:t>
      </w:r>
    </w:p>
    <w:p>
      <w:pPr>
        <w:pStyle w:val="style0"/>
        <w:spacing w:before="0" w:after="240"/>
        <w:rPr/>
      </w:pPr>
    </w:p>
    <w:p>
      <w:pPr>
        <w:pStyle w:val="style0"/>
        <w:spacing w:before="0" w:after="50"/>
        <w:jc w:val="right"/>
        <w:rPr/>
      </w:pPr>
      <w:r>
        <w:rPr>
          <w:rFonts w:ascii="Arial" w:cs="Arial" w:eastAsia="Arial" w:hAnsi="Arial"/>
          <w:color w:val="666666"/>
          <w:sz w:val="20"/>
          <w:szCs w:val="20"/>
        </w:rPr>
        <w:t>Présenté par :</w:t>
      </w:r>
    </w:p>
    <w:p>
      <w:pPr>
        <w:pStyle w:val="style0"/>
        <w:spacing w:before="0" w:after="40"/>
        <w:jc w:val="right"/>
        <w:rPr/>
      </w:pPr>
      <w:r>
        <w:rPr>
          <w:rFonts w:ascii="Arial" w:cs="Arial" w:eastAsia="Arial" w:hAnsi="Arial"/>
          <w:b/>
          <w:bCs/>
          <w:color w:val="1a3a5c"/>
          <w:sz w:val="23"/>
          <w:szCs w:val="23"/>
        </w:rPr>
        <w:t>L’Honorable KEMMOGNE SACDO MENÈRE BRUNO FRANCK</w:t>
      </w:r>
    </w:p>
    <w:p>
      <w:pPr>
        <w:pStyle w:val="style0"/>
        <w:spacing w:before="0" w:after="40"/>
        <w:jc w:val="right"/>
        <w:rPr/>
      </w:pPr>
      <w:r>
        <w:rPr>
          <w:rFonts w:ascii="Arial" w:cs="Arial" w:eastAsia="Arial" w:hAnsi="Arial"/>
          <w:b/>
          <w:bCs/>
          <w:color w:val="c8960c"/>
          <w:sz w:val="21"/>
          <w:szCs w:val="21"/>
        </w:rPr>
        <w:t>Député Panafricain Junior</w:t>
      </w:r>
    </w:p>
    <w:p>
      <w:pPr>
        <w:pStyle w:val="style0"/>
        <w:spacing w:before="0" w:after="40"/>
        <w:jc w:val="right"/>
        <w:rPr/>
      </w:pPr>
      <w:r>
        <w:rPr>
          <w:rFonts w:ascii="Arial" w:cs="Arial" w:eastAsia="Arial" w:hAnsi="Arial"/>
          <w:color w:val="666666"/>
          <w:sz w:val="20"/>
          <w:szCs w:val="20"/>
        </w:rPr>
        <w:t>Tél : +237 696 78 75 32</w:t>
      </w:r>
    </w:p>
    <w:p>
      <w:pPr>
        <w:pStyle w:val="style0"/>
        <w:spacing w:before="0" w:after="0"/>
        <w:jc w:val="right"/>
        <w:rPr/>
      </w:pPr>
      <w:r>
        <w:rPr>
          <w:rFonts w:ascii="Arial" w:cs="Arial" w:eastAsia="Arial" w:hAnsi="Arial"/>
          <w:color w:val="666666"/>
          <w:sz w:val="20"/>
          <w:szCs w:val="20"/>
        </w:rPr>
        <w:t>kemmognesacdobrunofranck@gmail.com</w:t>
      </w:r>
    </w:p>
    <w:p>
      <w:pPr>
        <w:pStyle w:val="style0"/>
        <w:rPr/>
      </w:pPr>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9026"/>
      </w:tblGrid>
      <w:tr>
        <w:trPr/>
        <w:tc>
          <w:tcPr>
            <w:tcW w:w="9026" w:type="dxa"/>
            <w:tcBorders>
              <w:top w:val="none" w:sz="4" w:space="0" w:color="auto"/>
              <w:left w:val="none" w:sz="4" w:space="0" w:color="auto"/>
              <w:bottom w:val="none" w:sz="4" w:space="0" w:color="auto"/>
              <w:right w:val="none" w:sz="4" w:space="0" w:color="auto"/>
            </w:tcBorders>
            <w:shd w:val="clear" w:color="auto" w:fill="1a3a5c"/>
            <w:tcMar>
              <w:top w:w="180" w:type="dxa"/>
              <w:left w:w="300" w:type="dxa"/>
              <w:bottom w:w="180" w:type="dxa"/>
              <w:right w:w="300" w:type="dxa"/>
            </w:tcMar>
          </w:tcPr>
          <w:p>
            <w:pPr>
              <w:pStyle w:val="style0"/>
              <w:jc w:val="center"/>
              <w:rPr/>
            </w:pPr>
            <w:r>
              <w:rPr>
                <w:rFonts w:ascii="Arial" w:cs="Arial" w:eastAsia="Arial" w:hAnsi="Arial"/>
                <w:b/>
                <w:bCs/>
                <w:color w:val="ffffff"/>
                <w:sz w:val="26"/>
                <w:szCs w:val="26"/>
              </w:rPr>
              <w:t>INTRODUCTION</w:t>
            </w:r>
          </w:p>
        </w:tc>
      </w:tr>
    </w:tbl>
    <w:p>
      <w:pPr>
        <w:pStyle w:val="style0"/>
        <w:spacing w:before="0" w:after="140"/>
        <w:rPr/>
      </w:pPr>
    </w:p>
    <w:p>
      <w:pPr>
        <w:pStyle w:val="style0"/>
        <w:spacing w:before="0" w:after="90"/>
        <w:ind w:left="0"/>
        <w:rPr/>
      </w:pPr>
      <w:r>
        <w:rPr>
          <w:rFonts w:ascii="Arial" w:cs="Arial" w:eastAsia="Arial" w:hAnsi="Arial"/>
          <w:color w:val="2c2c2c"/>
          <w:sz w:val="21"/>
          <w:szCs w:val="21"/>
        </w:rPr>
        <w:t>Ce projet communautaire incarne une vision réaliste, progressive et déjà en cours de concrétisation. Il s’inscrit dans une dynamique de développement durable axée sur la jeunesse, l’autonomisation économique et la lutte contre la précarité sociale. Réaliser ce projet représente un atout stratégique pour porter cette vision au niveau institutionnel, faciliter la coordination avec les acteurs publics et privés, et garantir un impact réel et mesurable sur le terrain.</w:t>
      </w:r>
    </w:p>
    <w:p>
      <w:pPr>
        <w:pStyle w:val="style0"/>
        <w:spacing w:before="0" w:after="80"/>
        <w:rPr/>
      </w:pPr>
    </w:p>
    <w:p>
      <w:pPr>
        <w:pStyle w:val="style0"/>
        <w:spacing w:before="0" w:after="90"/>
        <w:ind w:left="0"/>
        <w:rPr/>
      </w:pPr>
      <w:r>
        <w:rPr>
          <w:rFonts w:ascii="Arial" w:cs="Arial" w:eastAsia="Arial" w:hAnsi="Arial"/>
          <w:color w:val="2c2c2c"/>
          <w:sz w:val="21"/>
          <w:szCs w:val="21"/>
        </w:rPr>
        <w:t>En 2020, le Gouvernement camerounais a élaboré la Stratégie Nationale de Développement 2020-2030 (SND30), prévoyant la transformation structurelle de l’économie camerounaise avec un accent sur le secteur de l’Agro-industrie. Pour la période 2020-2030, le Cameroun vise à accroître en quantité et en qualité la production agricole afin d’assurer son autosuffisance alimentaire, d’approvisionner les agro-industries nationales et de conquérir les marchés internationaux (CEEAC et CEDEAO). Le sous-secteur de l’agriculture doit connaître une croissance annuelle de 8,5 % à travers la modernisation de l’appareil de production et le développement d’une agriculture plus intensive.</w:t>
      </w:r>
    </w:p>
    <w:p>
      <w:pPr>
        <w:pStyle w:val="style0"/>
        <w:pBdr>
          <w:bottom w:val="single" w:sz="3" w:space="1" w:color="c8960c"/>
        </w:pBdr>
        <w:spacing w:before="180" w:after="1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9026"/>
      </w:tblGrid>
      <w:tr>
        <w:trPr/>
        <w:tc>
          <w:tcPr>
            <w:tcW w:w="9026" w:type="dxa"/>
            <w:tcBorders>
              <w:top w:val="none" w:sz="4" w:space="0" w:color="auto"/>
              <w:left w:val="none" w:sz="4" w:space="0" w:color="auto"/>
              <w:bottom w:val="none" w:sz="4" w:space="0" w:color="auto"/>
              <w:right w:val="none" w:sz="4" w:space="0" w:color="auto"/>
            </w:tcBorders>
            <w:shd w:val="clear" w:color="auto" w:fill="1a3a5c"/>
            <w:tcMar>
              <w:top w:w="180" w:type="dxa"/>
              <w:left w:w="300" w:type="dxa"/>
              <w:bottom w:w="180" w:type="dxa"/>
              <w:right w:w="300" w:type="dxa"/>
            </w:tcMar>
          </w:tcPr>
          <w:p>
            <w:pPr>
              <w:pStyle w:val="style0"/>
              <w:jc w:val="center"/>
              <w:rPr/>
            </w:pPr>
            <w:r>
              <w:rPr>
                <w:rFonts w:ascii="Arial" w:cs="Arial" w:eastAsia="Arial" w:hAnsi="Arial"/>
                <w:b/>
                <w:bCs/>
                <w:color w:val="ffffff"/>
                <w:sz w:val="26"/>
                <w:szCs w:val="26"/>
              </w:rPr>
              <w:t>RÉSUMÉ DU PROJET COMMUNAUTAIRE</w:t>
            </w:r>
          </w:p>
        </w:tc>
      </w:tr>
    </w:tbl>
    <w:p>
      <w:pPr>
        <w:pStyle w:val="style0"/>
        <w:spacing w:before="0" w:after="140"/>
        <w:rPr/>
      </w:pPr>
    </w:p>
    <w:p>
      <w:pPr>
        <w:pStyle w:val="style0"/>
        <w:spacing w:before="0" w:after="90"/>
        <w:ind w:left="0"/>
        <w:rPr/>
      </w:pPr>
      <w:r>
        <w:rPr>
          <w:rFonts w:ascii="Arial" w:cs="Arial" w:eastAsia="Arial" w:hAnsi="Arial"/>
          <w:color w:val="2c2c2c"/>
          <w:sz w:val="21"/>
          <w:szCs w:val="21"/>
        </w:rPr>
        <w:t>Ce projet s’inscrit dans une dynamique de développement durable et d’autonomisation des jeunes, porté par la création d’une entreprise agroalimentaire communautaire. Il vise à lutter contre le chômage, renforcer la sécurité alimentaire et favoriser l’insertion socio-professionnelle des jeunes.</w:t>
      </w:r>
    </w:p>
    <w:p>
      <w:pPr>
        <w:pStyle w:val="style0"/>
        <w:spacing w:before="0" w:after="8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Axes stratégiques</w:t>
      </w:r>
    </w:p>
    <w:p>
      <w:pPr>
        <w:pStyle w:val="style179"/>
        <w:numPr>
          <w:ilvl w:val="0"/>
          <w:numId w:val="1"/>
        </w:numPr>
        <w:spacing w:before="40" w:after="60"/>
        <w:rPr/>
      </w:pPr>
      <w:r>
        <w:rPr>
          <w:rFonts w:ascii="Arial" w:cs="Arial" w:eastAsia="Arial" w:hAnsi="Arial"/>
          <w:color w:val="2c2c2c"/>
          <w:sz w:val="21"/>
          <w:szCs w:val="21"/>
        </w:rPr>
        <w:t>Production agricole pour réduire le déficit alimentaire</w:t>
      </w:r>
    </w:p>
    <w:p>
      <w:pPr>
        <w:pStyle w:val="style179"/>
        <w:numPr>
          <w:ilvl w:val="0"/>
          <w:numId w:val="1"/>
        </w:numPr>
        <w:spacing w:before="40" w:after="60"/>
        <w:rPr/>
      </w:pPr>
      <w:r>
        <w:rPr>
          <w:rFonts w:ascii="Arial" w:cs="Arial" w:eastAsia="Arial" w:hAnsi="Arial"/>
          <w:color w:val="2c2c2c"/>
          <w:sz w:val="21"/>
          <w:szCs w:val="21"/>
        </w:rPr>
        <w:t>Élevage de poulets de chair pour générer des revenus rapides</w:t>
      </w:r>
    </w:p>
    <w:p>
      <w:pPr>
        <w:pStyle w:val="style179"/>
        <w:numPr>
          <w:ilvl w:val="0"/>
          <w:numId w:val="1"/>
        </w:numPr>
        <w:spacing w:before="40" w:after="60"/>
        <w:rPr/>
      </w:pPr>
      <w:r>
        <w:rPr>
          <w:rFonts w:ascii="Arial" w:cs="Arial" w:eastAsia="Arial" w:hAnsi="Arial"/>
          <w:color w:val="2c2c2c"/>
          <w:sz w:val="21"/>
          <w:szCs w:val="21"/>
        </w:rPr>
        <w:t>Développement informatique pour le recensement et la gestion des bénéficiaires</w:t>
      </w:r>
    </w:p>
    <w:p>
      <w:pPr>
        <w:pStyle w:val="style179"/>
        <w:numPr>
          <w:ilvl w:val="0"/>
          <w:numId w:val="1"/>
        </w:numPr>
        <w:spacing w:before="40" w:after="60"/>
        <w:rPr/>
      </w:pPr>
      <w:r>
        <w:rPr>
          <w:rFonts w:ascii="Arial" w:cs="Arial" w:eastAsia="Arial" w:hAnsi="Arial"/>
          <w:color w:val="2c2c2c"/>
          <w:sz w:val="21"/>
          <w:szCs w:val="21"/>
        </w:rPr>
        <w:t>Encadrement, formation et insertion des jeunes</w:t>
      </w:r>
    </w:p>
    <w:p>
      <w:pPr>
        <w:pStyle w:val="style0"/>
        <w:spacing w:before="0" w:after="120"/>
        <w:rPr/>
      </w:pPr>
    </w:p>
    <w:p>
      <w:pPr>
        <w:pStyle w:val="style0"/>
        <w:spacing w:before="0" w:after="90"/>
        <w:ind w:left="0"/>
        <w:rPr/>
      </w:pPr>
      <w:r>
        <w:rPr>
          <w:rFonts w:ascii="Arial" w:cs="Arial" w:eastAsia="Arial" w:hAnsi="Arial"/>
          <w:color w:val="2c2c2c"/>
          <w:sz w:val="21"/>
          <w:szCs w:val="21"/>
        </w:rPr>
        <w:t>Une plateforme numérique sera mise en place pour identifier, suivre et accompagner les jeunes bénéficiaires à travers des actions concrètes (formation, emploi, financement de microprojets).</w:t>
      </w:r>
    </w:p>
    <w:p>
      <w:pPr>
        <w:pStyle w:val="style0"/>
        <w:spacing w:before="0" w:after="14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Budget Global du Projet</w:t>
      </w:r>
    </w:p>
    <w:p>
      <w:pPr>
        <w:pStyle w:val="style0"/>
        <w:spacing w:before="0" w:after="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6000"/>
        <w:gridCol w:w="3026"/>
      </w:tblGrid>
      <w:tr>
        <w:trPr/>
        <w:tc>
          <w:tcPr>
            <w:tcW w:w="60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Composante du Projet</w:t>
            </w:r>
          </w:p>
        </w:tc>
        <w:tc>
          <w:tcPr>
            <w:tcW w:w="3026"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Montant (FCFA)</w:t>
            </w:r>
          </w:p>
        </w:tc>
      </w:tr>
      <w:tr>
        <w:tblPrEx/>
        <w:trPr/>
        <w:tc>
          <w:tcPr>
            <w:tcW w:w="60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Projet Agricole (production, équipements, main-d’œuvre)</w:t>
            </w:r>
          </w:p>
        </w:tc>
        <w:tc>
          <w:tcPr>
            <w:tcW w:w="30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30 000 000</w:t>
            </w:r>
          </w:p>
        </w:tc>
      </w:tr>
      <w:tr>
        <w:tblPrEx/>
        <w:trPr/>
        <w:tc>
          <w:tcPr>
            <w:tcW w:w="60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Projet Élevage de Poulets de Chair (construction, poussins, alimentation, suivi)</w:t>
            </w:r>
          </w:p>
        </w:tc>
        <w:tc>
          <w:tcPr>
            <w:tcW w:w="30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20 000 000</w:t>
            </w:r>
          </w:p>
        </w:tc>
      </w:tr>
      <w:tr>
        <w:tblPrEx/>
        <w:trPr/>
        <w:tc>
          <w:tcPr>
            <w:tcW w:w="60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Projet Informatique (plateforme numérique, recensement, identification)</w:t>
            </w:r>
          </w:p>
        </w:tc>
        <w:tc>
          <w:tcPr>
            <w:tcW w:w="30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6 000 000</w:t>
            </w:r>
          </w:p>
        </w:tc>
      </w:tr>
      <w:tr>
        <w:tblPrEx/>
        <w:trPr/>
        <w:tc>
          <w:tcPr>
            <w:tcW w:w="60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Locaux, équipements de bureau et salaires</w:t>
            </w:r>
          </w:p>
        </w:tc>
        <w:tc>
          <w:tcPr>
            <w:tcW w:w="30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5 000 000</w:t>
            </w:r>
          </w:p>
        </w:tc>
      </w:tr>
      <w:tr>
        <w:tblPrEx/>
        <w:trPr/>
        <w:tc>
          <w:tcPr>
            <w:tcW w:w="60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left"/>
              <w:rPr/>
            </w:pPr>
            <w:r>
              <w:rPr>
                <w:rFonts w:ascii="Arial" w:cs="Arial" w:eastAsia="Arial" w:hAnsi="Arial"/>
                <w:b/>
                <w:bCs/>
                <w:color w:val="1a3a5c"/>
                <w:sz w:val="20"/>
                <w:szCs w:val="20"/>
              </w:rPr>
              <w:t>TOTAL GLOBAL</w:t>
            </w:r>
          </w:p>
        </w:tc>
        <w:tc>
          <w:tcPr>
            <w:tcW w:w="3026"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r>
              <w:rPr>
                <w:rFonts w:ascii="Arial" w:cs="Arial" w:eastAsia="Arial" w:hAnsi="Arial"/>
                <w:b/>
                <w:bCs/>
                <w:color w:val="1a3a5c"/>
                <w:sz w:val="20"/>
                <w:szCs w:val="20"/>
              </w:rPr>
              <w:t>[object Object]</w:t>
            </w:r>
          </w:p>
        </w:tc>
      </w:tr>
    </w:tbl>
    <w:p>
      <w:pPr>
        <w:pStyle w:val="style0"/>
        <w:spacing w:before="0" w:after="60"/>
        <w:rPr/>
      </w:pPr>
    </w:p>
    <w:p>
      <w:pPr>
        <w:pStyle w:val="style0"/>
        <w:spacing w:before="60" w:after="60"/>
        <w:rPr/>
      </w:pPr>
      <w:r>
        <w:rPr>
          <w:rFonts w:ascii="Arial" w:cs="Arial" w:eastAsia="Arial" w:hAnsi="Arial"/>
          <w:i/>
          <w:iCs/>
          <w:color w:val="666666"/>
          <w:sz w:val="19"/>
          <w:szCs w:val="19"/>
        </w:rPr>
        <w:t>NB : Le budget global réel s’élève à 61 000 000 FCFA conformément aux chiffres détaillés de chaque sous-projet.</w:t>
      </w:r>
    </w:p>
    <w:p>
      <w:pPr>
        <w:pStyle w:val="style0"/>
        <w:spacing w:before="0" w:after="10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Impact Attendu</w:t>
      </w:r>
    </w:p>
    <w:p>
      <w:pPr>
        <w:pStyle w:val="style179"/>
        <w:numPr>
          <w:ilvl w:val="0"/>
          <w:numId w:val="1"/>
        </w:numPr>
        <w:spacing w:before="40" w:after="60"/>
        <w:rPr/>
      </w:pPr>
      <w:r>
        <w:rPr>
          <w:rFonts w:ascii="Arial" w:cs="Arial" w:eastAsia="Arial" w:hAnsi="Arial"/>
          <w:color w:val="2c2c2c"/>
          <w:sz w:val="21"/>
          <w:szCs w:val="21"/>
        </w:rPr>
        <w:t>Création d’emplois directs et indirects pour les jeunes</w:t>
      </w:r>
    </w:p>
    <w:p>
      <w:pPr>
        <w:pStyle w:val="style179"/>
        <w:numPr>
          <w:ilvl w:val="0"/>
          <w:numId w:val="1"/>
        </w:numPr>
        <w:spacing w:before="40" w:after="60"/>
        <w:rPr/>
      </w:pPr>
      <w:r>
        <w:rPr>
          <w:rFonts w:ascii="Arial" w:cs="Arial" w:eastAsia="Arial" w:hAnsi="Arial"/>
          <w:color w:val="2c2c2c"/>
          <w:sz w:val="21"/>
          <w:szCs w:val="21"/>
        </w:rPr>
        <w:t>Réduction du chômage et de la précarité</w:t>
      </w:r>
    </w:p>
    <w:p>
      <w:pPr>
        <w:pStyle w:val="style179"/>
        <w:numPr>
          <w:ilvl w:val="0"/>
          <w:numId w:val="1"/>
        </w:numPr>
        <w:spacing w:before="40" w:after="60"/>
        <w:rPr/>
      </w:pPr>
      <w:r>
        <w:rPr>
          <w:rFonts w:ascii="Arial" w:cs="Arial" w:eastAsia="Arial" w:hAnsi="Arial"/>
          <w:color w:val="2c2c2c"/>
          <w:sz w:val="21"/>
          <w:szCs w:val="21"/>
        </w:rPr>
        <w:t>Amélioration de la production alimentaire locale</w:t>
      </w:r>
    </w:p>
    <w:p>
      <w:pPr>
        <w:pStyle w:val="style179"/>
        <w:numPr>
          <w:ilvl w:val="0"/>
          <w:numId w:val="1"/>
        </w:numPr>
        <w:spacing w:before="40" w:after="60"/>
        <w:rPr/>
      </w:pPr>
      <w:r>
        <w:rPr>
          <w:rFonts w:ascii="Arial" w:cs="Arial" w:eastAsia="Arial" w:hAnsi="Arial"/>
          <w:color w:val="2c2c2c"/>
          <w:sz w:val="21"/>
          <w:szCs w:val="21"/>
        </w:rPr>
        <w:t>Promotion de l’entrepreneuriat jeune</w:t>
      </w:r>
    </w:p>
    <w:p>
      <w:pPr>
        <w:pStyle w:val="style179"/>
        <w:numPr>
          <w:ilvl w:val="0"/>
          <w:numId w:val="1"/>
        </w:numPr>
        <w:spacing w:before="40" w:after="60"/>
        <w:rPr/>
      </w:pPr>
      <w:r>
        <w:rPr>
          <w:rFonts w:ascii="Arial" w:cs="Arial" w:eastAsia="Arial" w:hAnsi="Arial"/>
          <w:color w:val="2c2c2c"/>
          <w:sz w:val="21"/>
          <w:szCs w:val="21"/>
        </w:rPr>
        <w:t>Mise en place d’un système structuré d’accompagnement et de suivi</w:t>
      </w:r>
    </w:p>
    <w:p>
      <w:pPr>
        <w:pStyle w:val="style0"/>
        <w:pBdr>
          <w:bottom w:val="single" w:sz="3" w:space="1" w:color="c8960c"/>
        </w:pBdr>
        <w:spacing w:before="180" w:after="1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9026"/>
      </w:tblGrid>
      <w:tr>
        <w:trPr/>
        <w:tc>
          <w:tcPr>
            <w:tcW w:w="9026" w:type="dxa"/>
            <w:tcBorders>
              <w:top w:val="single" w:sz="4" w:space="0" w:color="1a3a5c"/>
              <w:left w:val="thick" w:sz="14" w:space="0" w:color="c8960c"/>
              <w:bottom w:val="single" w:sz="4" w:space="0" w:color="1a3a5c"/>
              <w:right w:val="none" w:sz="4" w:space="0" w:color="auto"/>
            </w:tcBorders>
            <w:shd w:val="clear" w:color="auto" w:fill="d6e4f0"/>
            <w:tcMar>
              <w:top w:w="120" w:type="dxa"/>
              <w:left w:w="200" w:type="dxa"/>
              <w:bottom w:w="120" w:type="dxa"/>
              <w:right w:w="160" w:type="dxa"/>
            </w:tcMar>
          </w:tcPr>
          <w:p>
            <w:pPr>
              <w:pStyle w:val="style0"/>
              <w:rPr/>
            </w:pPr>
            <w:r>
              <w:rPr>
                <w:rFonts w:ascii="Arial" w:cs="Arial" w:eastAsia="Arial" w:hAnsi="Arial"/>
                <w:b/>
                <w:bCs/>
                <w:color w:val="c8960c"/>
                <w:sz w:val="26"/>
                <w:szCs w:val="26"/>
              </w:rPr>
              <w:t xml:space="preserve">I.  </w:t>
            </w:r>
            <w:r>
              <w:rPr>
                <w:rFonts w:ascii="Arial" w:cs="Arial" w:eastAsia="Arial" w:hAnsi="Arial"/>
                <w:b/>
                <w:bCs/>
                <w:color w:val="1a3a5c"/>
                <w:sz w:val="26"/>
                <w:szCs w:val="26"/>
              </w:rPr>
              <w:t>PRÉSENTATION DU PROMOTEUR ET DE LA STRUCTURE</w:t>
            </w:r>
          </w:p>
        </w:tc>
      </w:tr>
    </w:tbl>
    <w:p>
      <w:pPr>
        <w:pStyle w:val="style0"/>
        <w:spacing w:before="0" w:after="12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I.1. Le Promoteur</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500"/>
        <w:gridCol w:w="5526"/>
      </w:tblGrid>
      <w:tr>
        <w:trPr/>
        <w:tc>
          <w:tcPr>
            <w:tcW w:w="35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Informations</w:t>
            </w:r>
          </w:p>
        </w:tc>
        <w:tc>
          <w:tcPr>
            <w:tcW w:w="5526"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Détails</w:t>
            </w:r>
          </w:p>
        </w:tc>
      </w:tr>
      <w:tr>
        <w:tblPrEx/>
        <w:trPr/>
        <w:tc>
          <w:tcPr>
            <w:tcW w:w="3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Nom et Prénom(s)</w:t>
            </w:r>
          </w:p>
        </w:tc>
        <w:tc>
          <w:tcPr>
            <w:tcW w:w="55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KEMMOGNE SACDO MENÈRE Bruno Franck</w:t>
            </w:r>
          </w:p>
        </w:tc>
      </w:tr>
      <w:tr>
        <w:tblPrEx/>
        <w:trPr/>
        <w:tc>
          <w:tcPr>
            <w:tcW w:w="35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Sexe</w:t>
            </w:r>
          </w:p>
        </w:tc>
        <w:tc>
          <w:tcPr>
            <w:tcW w:w="55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Masculin</w:t>
            </w:r>
          </w:p>
        </w:tc>
      </w:tr>
      <w:tr>
        <w:tblPrEx/>
        <w:trPr/>
        <w:tc>
          <w:tcPr>
            <w:tcW w:w="3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Qualifications</w:t>
            </w:r>
          </w:p>
        </w:tc>
        <w:tc>
          <w:tcPr>
            <w:tcW w:w="55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Député Panafricain Junior  |  Entrepreneur</w:t>
            </w:r>
          </w:p>
        </w:tc>
      </w:tr>
      <w:tr>
        <w:tblPrEx/>
        <w:trPr/>
        <w:tc>
          <w:tcPr>
            <w:tcW w:w="35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Handicap / situation spécifique</w:t>
            </w:r>
          </w:p>
        </w:tc>
        <w:tc>
          <w:tcPr>
            <w:tcW w:w="55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Aucun</w:t>
            </w:r>
          </w:p>
        </w:tc>
      </w:tr>
      <w:tr>
        <w:tblPrEx/>
        <w:trPr/>
        <w:tc>
          <w:tcPr>
            <w:tcW w:w="3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Adresse</w:t>
            </w:r>
          </w:p>
        </w:tc>
        <w:tc>
          <w:tcPr>
            <w:tcW w:w="55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Yaoundé – BIYEM-ASSI</w:t>
            </w:r>
          </w:p>
        </w:tc>
      </w:tr>
      <w:tr>
        <w:tblPrEx/>
        <w:trPr/>
        <w:tc>
          <w:tcPr>
            <w:tcW w:w="35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Téléphone</w:t>
            </w:r>
          </w:p>
        </w:tc>
        <w:tc>
          <w:tcPr>
            <w:tcW w:w="55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+237 696 78 75 32</w:t>
            </w:r>
          </w:p>
        </w:tc>
      </w:tr>
      <w:tr>
        <w:tblPrEx/>
        <w:trPr/>
        <w:tc>
          <w:tcPr>
            <w:tcW w:w="3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Adresse électronique</w:t>
            </w:r>
          </w:p>
        </w:tc>
        <w:tc>
          <w:tcPr>
            <w:tcW w:w="55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kemmognesacdobrunofranck@gmail.com</w:t>
            </w:r>
          </w:p>
        </w:tc>
      </w:tr>
    </w:tbl>
    <w:p>
      <w:pPr>
        <w:pStyle w:val="style0"/>
        <w:spacing w:before="0" w:after="60"/>
        <w:rPr/>
      </w:pPr>
    </w:p>
    <w:p>
      <w:pPr>
        <w:pStyle w:val="style0"/>
        <w:spacing w:before="60" w:after="60"/>
        <w:rPr/>
      </w:pPr>
      <w:r>
        <w:rPr>
          <w:rFonts w:ascii="Arial" w:cs="Arial" w:eastAsia="Arial" w:hAnsi="Arial"/>
          <w:i/>
          <w:iCs/>
          <w:color w:val="666666"/>
          <w:sz w:val="19"/>
          <w:szCs w:val="19"/>
        </w:rPr>
        <w:t>Document à annexer : CV du promoteur</w:t>
      </w:r>
    </w:p>
    <w:p>
      <w:pPr>
        <w:pStyle w:val="style0"/>
        <w:spacing w:before="0" w:after="14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I.2. La Structure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500"/>
        <w:gridCol w:w="5526"/>
      </w:tblGrid>
      <w:tr>
        <w:trPr/>
        <w:tc>
          <w:tcPr>
            <w:tcW w:w="35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Informations</w:t>
            </w:r>
          </w:p>
        </w:tc>
        <w:tc>
          <w:tcPr>
            <w:tcW w:w="5526"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Détails</w:t>
            </w:r>
          </w:p>
        </w:tc>
      </w:tr>
      <w:tr>
        <w:tblPrEx/>
        <w:trPr/>
        <w:tc>
          <w:tcPr>
            <w:tcW w:w="3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Raison sociale</w:t>
            </w:r>
          </w:p>
        </w:tc>
        <w:tc>
          <w:tcPr>
            <w:tcW w:w="55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Projet Communautaire / COMMUNITY SARL</w:t>
            </w:r>
          </w:p>
        </w:tc>
      </w:tr>
      <w:tr>
        <w:tblPrEx/>
        <w:trPr/>
        <w:tc>
          <w:tcPr>
            <w:tcW w:w="35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Forme juridique</w:t>
            </w:r>
          </w:p>
        </w:tc>
        <w:tc>
          <w:tcPr>
            <w:tcW w:w="55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SARL</w:t>
            </w:r>
          </w:p>
        </w:tc>
      </w:tr>
      <w:tr>
        <w:tblPrEx/>
        <w:trPr/>
        <w:tc>
          <w:tcPr>
            <w:tcW w:w="3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Type d’entreprise</w:t>
            </w:r>
          </w:p>
        </w:tc>
        <w:tc>
          <w:tcPr>
            <w:tcW w:w="55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Petite Entreprise (PE)</w:t>
            </w:r>
          </w:p>
        </w:tc>
      </w:tr>
      <w:tr>
        <w:tblPrEx/>
        <w:trPr/>
        <w:tc>
          <w:tcPr>
            <w:tcW w:w="35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Localisation</w:t>
            </w:r>
          </w:p>
        </w:tc>
        <w:tc>
          <w:tcPr>
            <w:tcW w:w="55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Centre – Yaoundé – Yaoundé VI</w:t>
            </w:r>
          </w:p>
        </w:tc>
      </w:tr>
      <w:tr>
        <w:tblPrEx/>
        <w:trPr/>
        <w:tc>
          <w:tcPr>
            <w:tcW w:w="3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Secteur d’activité</w:t>
            </w:r>
          </w:p>
        </w:tc>
        <w:tc>
          <w:tcPr>
            <w:tcW w:w="55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Secondaire (Transformation)</w:t>
            </w:r>
          </w:p>
        </w:tc>
      </w:tr>
      <w:tr>
        <w:tblPrEx/>
        <w:trPr/>
        <w:tc>
          <w:tcPr>
            <w:tcW w:w="35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Branche d’activité</w:t>
            </w:r>
          </w:p>
        </w:tc>
        <w:tc>
          <w:tcPr>
            <w:tcW w:w="55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Agroalimentaire</w:t>
            </w:r>
          </w:p>
        </w:tc>
      </w:tr>
      <w:tr>
        <w:tblPrEx/>
        <w:trPr/>
        <w:tc>
          <w:tcPr>
            <w:tcW w:w="3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Produits</w:t>
            </w:r>
          </w:p>
        </w:tc>
        <w:tc>
          <w:tcPr>
            <w:tcW w:w="55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Maïs, herbes aromatiques, banane plantain, etc. + élevage de poulets de chair</w:t>
            </w:r>
          </w:p>
        </w:tc>
      </w:tr>
      <w:tr>
        <w:tblPrEx/>
        <w:trPr/>
        <w:tc>
          <w:tcPr>
            <w:tcW w:w="35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Nombre d’employés</w:t>
            </w:r>
          </w:p>
        </w:tc>
        <w:tc>
          <w:tcPr>
            <w:tcW w:w="55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15 employés permanents</w:t>
            </w:r>
          </w:p>
        </w:tc>
      </w:tr>
    </w:tbl>
    <w:p>
      <w:pPr>
        <w:pStyle w:val="style0"/>
        <w:spacing w:before="0" w:after="12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Objectifs Principaux</w:t>
      </w:r>
    </w:p>
    <w:p>
      <w:pPr>
        <w:pStyle w:val="style179"/>
        <w:numPr>
          <w:ilvl w:val="0"/>
          <w:numId w:val="1"/>
        </w:numPr>
        <w:spacing w:before="40" w:after="60"/>
        <w:rPr/>
      </w:pPr>
      <w:r>
        <w:rPr>
          <w:rFonts w:ascii="Arial" w:cs="Arial" w:eastAsia="Arial" w:hAnsi="Arial"/>
          <w:color w:val="2c2c2c"/>
          <w:sz w:val="21"/>
          <w:szCs w:val="21"/>
        </w:rPr>
        <w:t>Réduire de manière significative le déficit alimentaire local.</w:t>
      </w:r>
    </w:p>
    <w:p>
      <w:pPr>
        <w:pStyle w:val="style179"/>
        <w:numPr>
          <w:ilvl w:val="0"/>
          <w:numId w:val="1"/>
        </w:numPr>
        <w:spacing w:before="40" w:after="60"/>
        <w:rPr/>
      </w:pPr>
      <w:r>
        <w:rPr>
          <w:rFonts w:ascii="Arial" w:cs="Arial" w:eastAsia="Arial" w:hAnsi="Arial"/>
          <w:color w:val="2c2c2c"/>
          <w:sz w:val="21"/>
          <w:szCs w:val="21"/>
        </w:rPr>
        <w:t>Créer des emplois directs et durables pour les jeunes dans la chaîne d’élevage et agroalimentaire.</w:t>
      </w:r>
    </w:p>
    <w:p>
      <w:pPr>
        <w:pStyle w:val="style179"/>
        <w:numPr>
          <w:ilvl w:val="0"/>
          <w:numId w:val="1"/>
        </w:numPr>
        <w:spacing w:before="40" w:after="60"/>
        <w:rPr/>
      </w:pPr>
      <w:r>
        <w:rPr>
          <w:rFonts w:ascii="Arial" w:cs="Arial" w:eastAsia="Arial" w:hAnsi="Arial"/>
          <w:color w:val="2c2c2c"/>
          <w:sz w:val="21"/>
          <w:szCs w:val="21"/>
        </w:rPr>
        <w:t>Réinvestir une grande partie des revenus générés dans des projets communautaires (formation, insertion, entrepreneuriat).</w:t>
      </w:r>
    </w:p>
    <w:p>
      <w:pPr>
        <w:pStyle w:val="style179"/>
        <w:numPr>
          <w:ilvl w:val="0"/>
          <w:numId w:val="1"/>
        </w:numPr>
        <w:spacing w:before="40" w:after="60"/>
        <w:rPr/>
      </w:pPr>
      <w:r>
        <w:rPr>
          <w:rFonts w:ascii="Arial" w:cs="Arial" w:eastAsia="Arial" w:hAnsi="Arial"/>
          <w:color w:val="2c2c2c"/>
          <w:sz w:val="21"/>
          <w:szCs w:val="21"/>
        </w:rPr>
        <w:t>Assurer une autonomie financière durable et éviter une dépendance permanente aux subventions.</w:t>
      </w:r>
    </w:p>
    <w:p>
      <w:pPr>
        <w:pStyle w:val="style0"/>
        <w:pBdr>
          <w:bottom w:val="single" w:sz="3" w:space="1" w:color="c8960c"/>
        </w:pBdr>
        <w:spacing w:before="180" w:after="1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9026"/>
      </w:tblGrid>
      <w:tr>
        <w:trPr/>
        <w:tc>
          <w:tcPr>
            <w:tcW w:w="9026" w:type="dxa"/>
            <w:tcBorders>
              <w:top w:val="single" w:sz="4" w:space="0" w:color="1a3a5c"/>
              <w:left w:val="thick" w:sz="14" w:space="0" w:color="c8960c"/>
              <w:bottom w:val="single" w:sz="4" w:space="0" w:color="1a3a5c"/>
              <w:right w:val="none" w:sz="4" w:space="0" w:color="auto"/>
            </w:tcBorders>
            <w:shd w:val="clear" w:color="auto" w:fill="d6e4f0"/>
            <w:tcMar>
              <w:top w:w="120" w:type="dxa"/>
              <w:left w:w="200" w:type="dxa"/>
              <w:bottom w:w="120" w:type="dxa"/>
              <w:right w:w="160" w:type="dxa"/>
            </w:tcMar>
          </w:tcPr>
          <w:p>
            <w:pPr>
              <w:pStyle w:val="style0"/>
              <w:rPr/>
            </w:pPr>
            <w:r>
              <w:rPr>
                <w:rFonts w:ascii="Arial" w:cs="Arial" w:eastAsia="Arial" w:hAnsi="Arial"/>
                <w:b/>
                <w:bCs/>
                <w:color w:val="c8960c"/>
                <w:sz w:val="26"/>
                <w:szCs w:val="26"/>
              </w:rPr>
              <w:t xml:space="preserve">II.  </w:t>
            </w:r>
            <w:r>
              <w:rPr>
                <w:rFonts w:ascii="Arial" w:cs="Arial" w:eastAsia="Arial" w:hAnsi="Arial"/>
                <w:b/>
                <w:bCs/>
                <w:color w:val="1a3a5c"/>
                <w:sz w:val="26"/>
                <w:szCs w:val="26"/>
              </w:rPr>
              <w:t>ÉTUDE TECHNIQUE DU PROJET</w:t>
            </w:r>
          </w:p>
        </w:tc>
      </w:tr>
    </w:tbl>
    <w:p>
      <w:pPr>
        <w:pStyle w:val="style0"/>
        <w:spacing w:before="0" w:after="12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II.1. Le Contexte</w:t>
      </w:r>
    </w:p>
    <w:p>
      <w:pPr>
        <w:pStyle w:val="style0"/>
        <w:spacing w:before="0" w:after="90"/>
        <w:ind w:left="0"/>
        <w:rPr/>
      </w:pPr>
      <w:r>
        <w:rPr>
          <w:rFonts w:ascii="Arial" w:cs="Arial" w:eastAsia="Arial" w:hAnsi="Arial"/>
          <w:color w:val="2c2c2c"/>
          <w:sz w:val="21"/>
          <w:szCs w:val="21"/>
        </w:rPr>
        <w:t>Ce projet vise à résoudre plusieurs problèmes dans la communauté, notamment le ravitaillement en produits de première nécessité directement dans les lieux de vente. En tant qu’entreprise communautaire, une grande partie du profit généré ira vers la formation et l’insertion des jeunes dans l’entrepreneuriat.</w:t>
      </w:r>
    </w:p>
    <w:p>
      <w:pPr>
        <w:pStyle w:val="style0"/>
        <w:spacing w:before="0" w:after="10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II.2. Description du Projet</w:t>
      </w:r>
    </w:p>
    <w:p>
      <w:pPr>
        <w:pStyle w:val="style0"/>
        <w:spacing w:before="0" w:after="90"/>
        <w:ind w:left="0"/>
        <w:rPr/>
      </w:pPr>
      <w:r>
        <w:rPr>
          <w:rFonts w:ascii="Arial" w:cs="Arial" w:eastAsia="Arial" w:hAnsi="Arial"/>
          <w:color w:val="2c2c2c"/>
          <w:sz w:val="21"/>
          <w:szCs w:val="21"/>
        </w:rPr>
        <w:t>Pour la réalisation du projet, les éléments suivants sont nécessaires :</w:t>
      </w:r>
    </w:p>
    <w:p>
      <w:pPr>
        <w:pStyle w:val="style0"/>
        <w:spacing w:before="0" w:after="60"/>
        <w:rPr/>
      </w:pPr>
    </w:p>
    <w:p>
      <w:pPr>
        <w:pStyle w:val="style179"/>
        <w:numPr>
          <w:ilvl w:val="0"/>
          <w:numId w:val="1"/>
        </w:numPr>
        <w:spacing w:before="40" w:after="60"/>
        <w:rPr/>
      </w:pPr>
      <w:r>
        <w:rPr>
          <w:rFonts w:ascii="Arial" w:cs="Arial" w:eastAsia="Arial" w:hAnsi="Arial"/>
          <w:color w:val="2c2c2c"/>
          <w:sz w:val="21"/>
          <w:szCs w:val="21"/>
        </w:rPr>
        <w:t>Un local représentant le siège communautaire, avec bureaux administratifs, de gestion des entreprises et financier.</w:t>
      </w:r>
    </w:p>
    <w:p>
      <w:pPr>
        <w:pStyle w:val="style179"/>
        <w:numPr>
          <w:ilvl w:val="0"/>
          <w:numId w:val="1"/>
        </w:numPr>
        <w:spacing w:before="40" w:after="60"/>
        <w:rPr/>
      </w:pPr>
      <w:r>
        <w:rPr>
          <w:rFonts w:ascii="Arial" w:cs="Arial" w:eastAsia="Arial" w:hAnsi="Arial"/>
          <w:color w:val="2c2c2c"/>
          <w:sz w:val="21"/>
          <w:szCs w:val="21"/>
        </w:rPr>
        <w:t>Le matériel d’équipement du local pour les différentes commissions.</w:t>
      </w:r>
    </w:p>
    <w:p>
      <w:pPr>
        <w:pStyle w:val="style179"/>
        <w:numPr>
          <w:ilvl w:val="0"/>
          <w:numId w:val="1"/>
        </w:numPr>
        <w:spacing w:before="40" w:after="60"/>
        <w:rPr/>
      </w:pPr>
      <w:r>
        <w:rPr>
          <w:rFonts w:ascii="Arial" w:cs="Arial" w:eastAsia="Arial" w:hAnsi="Arial"/>
          <w:color w:val="2c2c2c"/>
          <w:sz w:val="21"/>
          <w:szCs w:val="21"/>
        </w:rPr>
        <w:t>2 véhicules d’approvisionnement.</w:t>
      </w:r>
    </w:p>
    <w:p>
      <w:pPr>
        <w:pStyle w:val="style179"/>
        <w:numPr>
          <w:ilvl w:val="0"/>
          <w:numId w:val="1"/>
        </w:numPr>
        <w:spacing w:before="40" w:after="60"/>
        <w:rPr/>
      </w:pPr>
      <w:r>
        <w:rPr>
          <w:rFonts w:ascii="Arial" w:cs="Arial" w:eastAsia="Arial" w:hAnsi="Arial"/>
          <w:color w:val="2c2c2c"/>
          <w:sz w:val="21"/>
          <w:szCs w:val="21"/>
        </w:rPr>
        <w:t>Un terrain de 300 m² déjà disponible pour l’élevage, d’une capacité de 6 000 poulets.</w:t>
      </w:r>
    </w:p>
    <w:p>
      <w:pPr>
        <w:pStyle w:val="style179"/>
        <w:numPr>
          <w:ilvl w:val="0"/>
          <w:numId w:val="1"/>
        </w:numPr>
        <w:spacing w:before="40" w:after="60"/>
        <w:rPr/>
      </w:pPr>
      <w:r>
        <w:rPr>
          <w:rFonts w:ascii="Arial" w:cs="Arial" w:eastAsia="Arial" w:hAnsi="Arial"/>
          <w:color w:val="2c2c2c"/>
          <w:sz w:val="21"/>
          <w:szCs w:val="21"/>
        </w:rPr>
        <w:t>Un bâtiment de deux niveaux pour l’élevage de poulets de chair, avec magasin et bureaux annexes.</w:t>
      </w:r>
    </w:p>
    <w:p>
      <w:pPr>
        <w:pStyle w:val="style179"/>
        <w:numPr>
          <w:ilvl w:val="0"/>
          <w:numId w:val="1"/>
        </w:numPr>
        <w:spacing w:before="40" w:after="60"/>
        <w:rPr/>
      </w:pPr>
      <w:r>
        <w:rPr>
          <w:rFonts w:ascii="Arial" w:cs="Arial" w:eastAsia="Arial" w:hAnsi="Arial"/>
          <w:color w:val="2c2c2c"/>
          <w:sz w:val="21"/>
          <w:szCs w:val="21"/>
        </w:rPr>
        <w:t>Un terrain de 5 hectares pour le projet agricole multi-cultures.</w:t>
      </w:r>
    </w:p>
    <w:p>
      <w:pPr>
        <w:pStyle w:val="style179"/>
        <w:numPr>
          <w:ilvl w:val="0"/>
          <w:numId w:val="1"/>
        </w:numPr>
        <w:spacing w:before="40" w:after="60"/>
        <w:rPr/>
      </w:pPr>
      <w:r>
        <w:rPr>
          <w:rFonts w:ascii="Arial" w:cs="Arial" w:eastAsia="Arial" w:hAnsi="Arial"/>
          <w:color w:val="2c2c2c"/>
          <w:sz w:val="21"/>
          <w:szCs w:val="21"/>
        </w:rPr>
        <w:t>Des fonds pour couvrir les salaires du personnel pendant la première année.</w:t>
      </w:r>
    </w:p>
    <w:p>
      <w:pPr>
        <w:pStyle w:val="style179"/>
        <w:numPr>
          <w:ilvl w:val="0"/>
          <w:numId w:val="1"/>
        </w:numPr>
        <w:spacing w:before="40" w:after="60"/>
        <w:rPr/>
      </w:pPr>
      <w:r>
        <w:rPr>
          <w:rFonts w:ascii="Arial" w:cs="Arial" w:eastAsia="Arial" w:hAnsi="Arial"/>
          <w:color w:val="2c2c2c"/>
          <w:sz w:val="21"/>
          <w:szCs w:val="21"/>
        </w:rPr>
        <w:t>Un montant de prévisions pour imprévus.</w:t>
      </w:r>
    </w:p>
    <w:p>
      <w:pPr>
        <w:pStyle w:val="style179"/>
        <w:numPr>
          <w:ilvl w:val="0"/>
          <w:numId w:val="1"/>
        </w:numPr>
        <w:spacing w:before="40" w:after="60"/>
        <w:rPr/>
      </w:pPr>
      <w:r>
        <w:rPr>
          <w:rFonts w:ascii="Arial" w:cs="Arial" w:eastAsia="Arial" w:hAnsi="Arial"/>
          <w:color w:val="2c2c2c"/>
          <w:sz w:val="21"/>
          <w:szCs w:val="21"/>
        </w:rPr>
        <w:t>Le matériel approprié pour l’exécution du projet agricole.</w:t>
      </w:r>
    </w:p>
    <w:p>
      <w:pPr>
        <w:pStyle w:val="style0"/>
        <w:spacing w:before="0" w:after="80"/>
        <w:rPr/>
      </w:pPr>
    </w:p>
    <w:p>
      <w:pPr>
        <w:pStyle w:val="style0"/>
        <w:spacing w:before="0" w:after="90"/>
        <w:ind w:left="0"/>
        <w:rPr/>
      </w:pPr>
      <w:r>
        <w:rPr>
          <w:rFonts w:ascii="Arial" w:cs="Arial" w:eastAsia="Arial" w:hAnsi="Arial"/>
          <w:color w:val="2c2c2c"/>
          <w:sz w:val="21"/>
          <w:szCs w:val="21"/>
        </w:rPr>
        <w:t>La durée de mise en place du projet jusqu’à son fonctionnement est prévue sur une période d’un an.</w:t>
      </w:r>
    </w:p>
    <w:p>
      <w:pPr>
        <w:pStyle w:val="style0"/>
        <w:pBdr>
          <w:bottom w:val="single" w:sz="3" w:space="1" w:color="c8960c"/>
        </w:pBdr>
        <w:spacing w:before="180" w:after="1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9026"/>
      </w:tblGrid>
      <w:tr>
        <w:trPr/>
        <w:tc>
          <w:tcPr>
            <w:tcW w:w="9026" w:type="dxa"/>
            <w:tcBorders>
              <w:top w:val="single" w:sz="4" w:space="0" w:color="1a3a5c"/>
              <w:left w:val="thick" w:sz="14" w:space="0" w:color="c8960c"/>
              <w:bottom w:val="single" w:sz="4" w:space="0" w:color="1a3a5c"/>
              <w:right w:val="none" w:sz="4" w:space="0" w:color="auto"/>
            </w:tcBorders>
            <w:shd w:val="clear" w:color="auto" w:fill="d6e4f0"/>
            <w:tcMar>
              <w:top w:w="120" w:type="dxa"/>
              <w:left w:w="200" w:type="dxa"/>
              <w:bottom w:w="120" w:type="dxa"/>
              <w:right w:w="160" w:type="dxa"/>
            </w:tcMar>
          </w:tcPr>
          <w:p>
            <w:pPr>
              <w:pStyle w:val="style0"/>
              <w:rPr/>
            </w:pPr>
            <w:r>
              <w:rPr>
                <w:rFonts w:ascii="Arial" w:cs="Arial" w:eastAsia="Arial" w:hAnsi="Arial"/>
                <w:b/>
                <w:bCs/>
                <w:color w:val="c8960c"/>
                <w:sz w:val="26"/>
                <w:szCs w:val="26"/>
              </w:rPr>
              <w:t xml:space="preserve">III.  </w:t>
            </w:r>
            <w:r>
              <w:rPr>
                <w:rFonts w:ascii="Arial" w:cs="Arial" w:eastAsia="Arial" w:hAnsi="Arial"/>
                <w:b/>
                <w:bCs/>
                <w:color w:val="1a3a5c"/>
                <w:sz w:val="26"/>
                <w:szCs w:val="26"/>
              </w:rPr>
              <w:t>PROJET INFORMATIQUE</w:t>
            </w:r>
          </w:p>
        </w:tc>
      </w:tr>
    </w:tbl>
    <w:p>
      <w:pPr>
        <w:pStyle w:val="style0"/>
        <w:spacing w:before="0" w:after="120"/>
        <w:rPr/>
      </w:pPr>
    </w:p>
    <w:p>
      <w:pPr>
        <w:pStyle w:val="style0"/>
        <w:spacing w:before="0" w:after="90"/>
        <w:ind w:left="0"/>
        <w:rPr/>
      </w:pPr>
      <w:r>
        <w:rPr>
          <w:rFonts w:ascii="Arial" w:cs="Arial" w:eastAsia="Arial" w:hAnsi="Arial"/>
          <w:color w:val="2c2c2c"/>
          <w:sz w:val="21"/>
          <w:szCs w:val="21"/>
        </w:rPr>
        <w:t>La plateforme numérique permettra le recensement, l’identification et le suivi des jeunes bénéficiaires. Elle est structurée en quatre catégories de ressources.</w:t>
      </w:r>
    </w:p>
    <w:p>
      <w:pPr>
        <w:pStyle w:val="style0"/>
        <w:spacing w:before="0" w:after="12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III.1. Ressources Logicielles</w:t>
      </w:r>
    </w:p>
    <w:p>
      <w:pPr>
        <w:pStyle w:val="style0"/>
        <w:spacing w:before="0" w:after="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474"/>
        <w:gridCol w:w="2474"/>
        <w:gridCol w:w="674"/>
        <w:gridCol w:w="1349"/>
        <w:gridCol w:w="2053"/>
      </w:tblGrid>
      <w:tr>
        <w:trPr/>
        <w:tc>
          <w:tcPr>
            <w:tcW w:w="22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Logiciels</w:t>
            </w:r>
          </w:p>
        </w:tc>
        <w:tc>
          <w:tcPr>
            <w:tcW w:w="22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Rôles</w:t>
            </w:r>
          </w:p>
        </w:tc>
        <w:tc>
          <w:tcPr>
            <w:tcW w:w="6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Qte</w:t>
            </w:r>
          </w:p>
        </w:tc>
        <w:tc>
          <w:tcPr>
            <w:tcW w:w="12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Prix unit. (FCFA)</w:t>
            </w:r>
          </w:p>
        </w:tc>
        <w:tc>
          <w:tcPr>
            <w:tcW w:w="1826"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Prix total (FCFA)</w:t>
            </w:r>
          </w:p>
        </w:tc>
      </w:tr>
      <w:tr>
        <w:tblPrEx/>
        <w:trPr/>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Visual Studio Code</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Editeur de code source</w:t>
            </w:r>
          </w:p>
        </w:tc>
        <w:tc>
          <w:tcPr>
            <w:tcW w:w="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05</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0</w:t>
            </w:r>
          </w:p>
        </w:tc>
        <w:tc>
          <w:tcPr>
            <w:tcW w:w="18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bCs/>
                <w:color w:val="1b6b3a"/>
                <w:sz w:val="20"/>
                <w:szCs w:val="20"/>
              </w:rPr>
              <w:t>Gratuit</w:t>
            </w:r>
          </w:p>
        </w:tc>
      </w:tr>
      <w:tr>
        <w:tblPrEx/>
        <w:trPr/>
        <w:tc>
          <w:tcPr>
            <w:tcW w:w="22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XAMPP</w:t>
            </w:r>
          </w:p>
        </w:tc>
        <w:tc>
          <w:tcPr>
            <w:tcW w:w="22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Serveur web local</w:t>
            </w:r>
          </w:p>
        </w:tc>
        <w:tc>
          <w:tcPr>
            <w:tcW w:w="6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05</w:t>
            </w:r>
          </w:p>
        </w:tc>
        <w:tc>
          <w:tcPr>
            <w:tcW w:w="12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0</w:t>
            </w:r>
          </w:p>
        </w:tc>
        <w:tc>
          <w:tcPr>
            <w:tcW w:w="18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bCs/>
                <w:color w:val="1b6b3a"/>
                <w:sz w:val="20"/>
                <w:szCs w:val="20"/>
              </w:rPr>
              <w:t>Gratuit</w:t>
            </w:r>
          </w:p>
        </w:tc>
      </w:tr>
      <w:tr>
        <w:tblPrEx/>
        <w:trPr/>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StarUML</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Conception et modélisation des systèmes informatiques</w:t>
            </w:r>
          </w:p>
        </w:tc>
        <w:tc>
          <w:tcPr>
            <w:tcW w:w="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02</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20 000</w:t>
            </w:r>
          </w:p>
        </w:tc>
        <w:tc>
          <w:tcPr>
            <w:tcW w:w="18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40 000</w:t>
            </w:r>
          </w:p>
        </w:tc>
      </w:tr>
      <w:tr>
        <w:tblPrEx/>
        <w:trPr/>
        <w:tc>
          <w:tcPr>
            <w:tcW w:w="22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Gantt Project</w:t>
            </w:r>
          </w:p>
        </w:tc>
        <w:tc>
          <w:tcPr>
            <w:tcW w:w="22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Gestion du temps et des ressources</w:t>
            </w:r>
          </w:p>
        </w:tc>
        <w:tc>
          <w:tcPr>
            <w:tcW w:w="6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01</w:t>
            </w:r>
          </w:p>
        </w:tc>
        <w:tc>
          <w:tcPr>
            <w:tcW w:w="12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209 600</w:t>
            </w:r>
          </w:p>
        </w:tc>
        <w:tc>
          <w:tcPr>
            <w:tcW w:w="18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209 600</w:t>
            </w:r>
          </w:p>
        </w:tc>
      </w:tr>
      <w:tr>
        <w:tblPrEx/>
        <w:trPr/>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Navigateurs (Chrome, Opera, Firefox)</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Interprétation de la solution web</w:t>
            </w:r>
          </w:p>
        </w:tc>
        <w:tc>
          <w:tcPr>
            <w:tcW w:w="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05</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0</w:t>
            </w:r>
          </w:p>
        </w:tc>
        <w:tc>
          <w:tcPr>
            <w:tcW w:w="18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bCs/>
                <w:color w:val="1b6b3a"/>
                <w:sz w:val="20"/>
                <w:szCs w:val="20"/>
              </w:rPr>
              <w:t>Gratuit</w:t>
            </w:r>
          </w:p>
        </w:tc>
      </w:tr>
      <w:tr>
        <w:tblPrEx/>
        <w:trPr/>
        <w:tc>
          <w:tcPr>
            <w:tcW w:w="22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MySQL</w:t>
            </w:r>
          </w:p>
        </w:tc>
        <w:tc>
          <w:tcPr>
            <w:tcW w:w="22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Système de gestion de bases de données</w:t>
            </w:r>
          </w:p>
        </w:tc>
        <w:tc>
          <w:tcPr>
            <w:tcW w:w="6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05</w:t>
            </w:r>
          </w:p>
        </w:tc>
        <w:tc>
          <w:tcPr>
            <w:tcW w:w="12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0</w:t>
            </w:r>
          </w:p>
        </w:tc>
        <w:tc>
          <w:tcPr>
            <w:tcW w:w="18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bCs/>
                <w:color w:val="1b6b3a"/>
                <w:sz w:val="20"/>
                <w:szCs w:val="20"/>
              </w:rPr>
              <w:t>Gratuit</w:t>
            </w:r>
          </w:p>
        </w:tc>
      </w:tr>
      <w:tr>
        <w:tblPrEx/>
        <w:trPr/>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Windows 10 Pro</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Système d’exploitation</w:t>
            </w:r>
          </w:p>
        </w:tc>
        <w:tc>
          <w:tcPr>
            <w:tcW w:w="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05</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126 000</w:t>
            </w:r>
          </w:p>
        </w:tc>
        <w:tc>
          <w:tcPr>
            <w:tcW w:w="18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630 000</w:t>
            </w:r>
          </w:p>
        </w:tc>
      </w:tr>
      <w:tr>
        <w:tblPrEx/>
        <w:trPr/>
        <w:tc>
          <w:tcPr>
            <w:tcW w:w="22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Microsoft Office 2019</w:t>
            </w:r>
          </w:p>
        </w:tc>
        <w:tc>
          <w:tcPr>
            <w:tcW w:w="22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Traitement de texte et bureautique</w:t>
            </w:r>
          </w:p>
        </w:tc>
        <w:tc>
          <w:tcPr>
            <w:tcW w:w="6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05</w:t>
            </w:r>
          </w:p>
        </w:tc>
        <w:tc>
          <w:tcPr>
            <w:tcW w:w="12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177 000</w:t>
            </w:r>
          </w:p>
        </w:tc>
        <w:tc>
          <w:tcPr>
            <w:tcW w:w="18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885 000</w:t>
            </w:r>
          </w:p>
        </w:tc>
      </w:tr>
      <w:tr>
        <w:tblPrEx/>
        <w:trPr/>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Serveur web hébergé (Intel Xeon, 16Go RAM, 250Go SSD)</w:t>
            </w:r>
          </w:p>
        </w:tc>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Hébergement de la plateforme</w:t>
            </w:r>
          </w:p>
        </w:tc>
        <w:tc>
          <w:tcPr>
            <w:tcW w:w="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01</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350 000/an</w:t>
            </w:r>
          </w:p>
        </w:tc>
        <w:tc>
          <w:tcPr>
            <w:tcW w:w="18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350 000</w:t>
            </w:r>
          </w:p>
        </w:tc>
      </w:tr>
      <w:tr>
        <w:tblPrEx/>
        <w:trPr/>
        <w:tc>
          <w:tcPr>
            <w:tcW w:w="22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left"/>
              <w:rPr/>
            </w:pPr>
            <w:r>
              <w:rPr>
                <w:rFonts w:ascii="Arial" w:cs="Arial" w:eastAsia="Arial" w:hAnsi="Arial"/>
                <w:b/>
                <w:bCs/>
                <w:color w:val="1a3a5c"/>
                <w:sz w:val="20"/>
                <w:szCs w:val="20"/>
              </w:rPr>
              <w:t>TOTAL LOGICIELS</w:t>
            </w:r>
          </w:p>
        </w:tc>
        <w:tc>
          <w:tcPr>
            <w:tcW w:w="22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p>
        </w:tc>
        <w:tc>
          <w:tcPr>
            <w:tcW w:w="6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p>
        </w:tc>
        <w:tc>
          <w:tcPr>
            <w:tcW w:w="12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p>
        </w:tc>
        <w:tc>
          <w:tcPr>
            <w:tcW w:w="1826"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r>
              <w:rPr>
                <w:rFonts w:ascii="Arial" w:cs="Arial" w:eastAsia="Arial" w:hAnsi="Arial"/>
                <w:b/>
                <w:bCs/>
                <w:color w:val="1a3a5c"/>
                <w:sz w:val="20"/>
                <w:szCs w:val="20"/>
              </w:rPr>
              <w:t>[object Object]</w:t>
            </w:r>
          </w:p>
        </w:tc>
      </w:tr>
    </w:tbl>
    <w:p>
      <w:pPr>
        <w:pStyle w:val="style0"/>
        <w:spacing w:before="60" w:after="60"/>
        <w:rPr/>
      </w:pPr>
      <w:r>
        <w:rPr>
          <w:rFonts w:ascii="Arial" w:cs="Arial" w:eastAsia="Arial" w:hAnsi="Arial"/>
          <w:i/>
          <w:iCs/>
          <w:color w:val="666666"/>
          <w:sz w:val="19"/>
          <w:szCs w:val="19"/>
        </w:rPr>
        <w:t>Source : Mercuriale des prix 2026</w:t>
      </w:r>
    </w:p>
    <w:p>
      <w:pPr>
        <w:pStyle w:val="style0"/>
        <w:spacing w:before="0" w:after="14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III.2. Ressources Matérielles</w:t>
      </w:r>
    </w:p>
    <w:p>
      <w:pPr>
        <w:pStyle w:val="style0"/>
        <w:spacing w:before="0" w:after="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811"/>
        <w:gridCol w:w="2024"/>
        <w:gridCol w:w="674"/>
        <w:gridCol w:w="1349"/>
        <w:gridCol w:w="2165"/>
      </w:tblGrid>
      <w:tr>
        <w:trPr/>
        <w:tc>
          <w:tcPr>
            <w:tcW w:w="25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Ressource</w:t>
            </w:r>
          </w:p>
        </w:tc>
        <w:tc>
          <w:tcPr>
            <w:tcW w:w="18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Unité</w:t>
            </w:r>
          </w:p>
        </w:tc>
        <w:tc>
          <w:tcPr>
            <w:tcW w:w="6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Qte</w:t>
            </w:r>
          </w:p>
        </w:tc>
        <w:tc>
          <w:tcPr>
            <w:tcW w:w="12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Prix unit. (FCFA)</w:t>
            </w:r>
          </w:p>
        </w:tc>
        <w:tc>
          <w:tcPr>
            <w:tcW w:w="1926"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Prix total (FCFA)</w:t>
            </w:r>
          </w:p>
        </w:tc>
      </w:tr>
      <w:tr>
        <w:tblPrEx/>
        <w:trPr/>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Laptop Lenovo Core i5 (2,40 GHz)</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Terminal de développement</w:t>
            </w:r>
          </w:p>
        </w:tc>
        <w:tc>
          <w:tcPr>
            <w:tcW w:w="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05</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210 000</w:t>
            </w:r>
          </w:p>
        </w:tc>
        <w:tc>
          <w:tcPr>
            <w:tcW w:w="1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1 050 000</w:t>
            </w:r>
          </w:p>
        </w:tc>
      </w:tr>
      <w:tr>
        <w:tblPrEx/>
        <w:trPr/>
        <w:tc>
          <w:tcPr>
            <w:tcW w:w="25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Modem Internet Camtel</w:t>
            </w:r>
          </w:p>
        </w:tc>
        <w:tc>
          <w:tcPr>
            <w:tcW w:w="18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Accès internet</w:t>
            </w:r>
          </w:p>
        </w:tc>
        <w:tc>
          <w:tcPr>
            <w:tcW w:w="6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01</w:t>
            </w:r>
          </w:p>
        </w:tc>
        <w:tc>
          <w:tcPr>
            <w:tcW w:w="12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35 000</w:t>
            </w:r>
          </w:p>
        </w:tc>
        <w:tc>
          <w:tcPr>
            <w:tcW w:w="19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35 000</w:t>
            </w:r>
          </w:p>
        </w:tc>
      </w:tr>
      <w:tr>
        <w:tblPrEx/>
        <w:trPr/>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Clé USB</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Stockage des informations</w:t>
            </w:r>
          </w:p>
        </w:tc>
        <w:tc>
          <w:tcPr>
            <w:tcW w:w="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05</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3 000</w:t>
            </w:r>
          </w:p>
        </w:tc>
        <w:tc>
          <w:tcPr>
            <w:tcW w:w="1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15 000</w:t>
            </w:r>
          </w:p>
        </w:tc>
      </w:tr>
      <w:tr>
        <w:tblPrEx/>
        <w:trPr/>
        <w:tc>
          <w:tcPr>
            <w:tcW w:w="25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Blocs-notes</w:t>
            </w:r>
          </w:p>
        </w:tc>
        <w:tc>
          <w:tcPr>
            <w:tcW w:w="18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Support d’information</w:t>
            </w:r>
          </w:p>
        </w:tc>
        <w:tc>
          <w:tcPr>
            <w:tcW w:w="6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10</w:t>
            </w:r>
          </w:p>
        </w:tc>
        <w:tc>
          <w:tcPr>
            <w:tcW w:w="12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1 000</w:t>
            </w:r>
          </w:p>
        </w:tc>
        <w:tc>
          <w:tcPr>
            <w:tcW w:w="19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10 000</w:t>
            </w:r>
          </w:p>
        </w:tc>
      </w:tr>
      <w:tr>
        <w:tblPrEx/>
        <w:trPr/>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Stylos et marqueurs</w:t>
            </w:r>
          </w:p>
        </w:tc>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Fournitures de bureau</w:t>
            </w:r>
          </w:p>
        </w:tc>
        <w:tc>
          <w:tcPr>
            <w:tcW w:w="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10</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200</w:t>
            </w:r>
          </w:p>
        </w:tc>
        <w:tc>
          <w:tcPr>
            <w:tcW w:w="1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2 000</w:t>
            </w:r>
          </w:p>
        </w:tc>
      </w:tr>
      <w:tr>
        <w:tblPrEx/>
        <w:trPr/>
        <w:tc>
          <w:tcPr>
            <w:tcW w:w="25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Tableau blanc</w:t>
            </w:r>
          </w:p>
        </w:tc>
        <w:tc>
          <w:tcPr>
            <w:tcW w:w="18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Analyse des données</w:t>
            </w:r>
          </w:p>
        </w:tc>
        <w:tc>
          <w:tcPr>
            <w:tcW w:w="6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01</w:t>
            </w:r>
          </w:p>
        </w:tc>
        <w:tc>
          <w:tcPr>
            <w:tcW w:w="12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25 000</w:t>
            </w:r>
          </w:p>
        </w:tc>
        <w:tc>
          <w:tcPr>
            <w:tcW w:w="19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25 000</w:t>
            </w:r>
          </w:p>
        </w:tc>
      </w:tr>
      <w:tr>
        <w:tblPrEx/>
        <w:trPr/>
        <w:tc>
          <w:tcPr>
            <w:tcW w:w="25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left"/>
              <w:rPr/>
            </w:pPr>
            <w:r>
              <w:rPr>
                <w:rFonts w:ascii="Arial" w:cs="Arial" w:eastAsia="Arial" w:hAnsi="Arial"/>
                <w:b/>
                <w:bCs/>
                <w:color w:val="1a3a5c"/>
                <w:sz w:val="20"/>
                <w:szCs w:val="20"/>
              </w:rPr>
              <w:t>TOTAL MATÉRIELS</w:t>
            </w:r>
          </w:p>
        </w:tc>
        <w:tc>
          <w:tcPr>
            <w:tcW w:w="18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p>
        </w:tc>
        <w:tc>
          <w:tcPr>
            <w:tcW w:w="6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p>
        </w:tc>
        <w:tc>
          <w:tcPr>
            <w:tcW w:w="12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p>
        </w:tc>
        <w:tc>
          <w:tcPr>
            <w:tcW w:w="1926"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r>
              <w:rPr>
                <w:rFonts w:ascii="Arial" w:cs="Arial" w:eastAsia="Arial" w:hAnsi="Arial"/>
                <w:b/>
                <w:bCs/>
                <w:color w:val="1a3a5c"/>
                <w:sz w:val="20"/>
                <w:szCs w:val="20"/>
              </w:rPr>
              <w:t>[object Object]</w:t>
            </w:r>
          </w:p>
        </w:tc>
      </w:tr>
    </w:tbl>
    <w:p>
      <w:pPr>
        <w:pStyle w:val="style0"/>
        <w:spacing w:before="60" w:after="60"/>
        <w:rPr/>
      </w:pPr>
      <w:r>
        <w:rPr>
          <w:rFonts w:ascii="Arial" w:cs="Arial" w:eastAsia="Arial" w:hAnsi="Arial"/>
          <w:i/>
          <w:iCs/>
          <w:color w:val="666666"/>
          <w:sz w:val="19"/>
          <w:szCs w:val="19"/>
        </w:rPr>
        <w:t>Source : Mercuriale des prix 2026</w:t>
      </w:r>
    </w:p>
    <w:p>
      <w:pPr>
        <w:pStyle w:val="style0"/>
        <w:spacing w:before="0" w:after="14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III.3. Ressources Humaines</w:t>
      </w:r>
    </w:p>
    <w:p>
      <w:pPr>
        <w:pStyle w:val="style0"/>
        <w:spacing w:before="0" w:after="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800"/>
        <w:gridCol w:w="4300"/>
        <w:gridCol w:w="1926"/>
      </w:tblGrid>
      <w:tr>
        <w:trPr/>
        <w:tc>
          <w:tcPr>
            <w:tcW w:w="28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Poste</w:t>
            </w:r>
          </w:p>
        </w:tc>
        <w:tc>
          <w:tcPr>
            <w:tcW w:w="43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Rôle</w:t>
            </w:r>
          </w:p>
        </w:tc>
        <w:tc>
          <w:tcPr>
            <w:tcW w:w="1926"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Total (FCFA)</w:t>
            </w:r>
          </w:p>
        </w:tc>
      </w:tr>
      <w:tr>
        <w:tblPrEx/>
        <w:trPr/>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Analyste-Concepteur</w:t>
            </w:r>
          </w:p>
        </w:tc>
        <w:tc>
          <w:tcPr>
            <w:tcW w:w="43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Analyse approfondie et conception du futur système</w:t>
            </w:r>
          </w:p>
        </w:tc>
        <w:tc>
          <w:tcPr>
            <w:tcW w:w="1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300 000</w:t>
            </w:r>
          </w:p>
        </w:tc>
      </w:tr>
      <w:tr>
        <w:tblPrEx/>
        <w:trPr/>
        <w:tc>
          <w:tcPr>
            <w:tcW w:w="28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Programmeur</w:t>
            </w:r>
          </w:p>
        </w:tc>
        <w:tc>
          <w:tcPr>
            <w:tcW w:w="43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Implémentation du système selon les directives d’analyse</w:t>
            </w:r>
          </w:p>
        </w:tc>
        <w:tc>
          <w:tcPr>
            <w:tcW w:w="19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2 000 000</w:t>
            </w:r>
          </w:p>
        </w:tc>
      </w:tr>
      <w:tr>
        <w:tblPrEx/>
        <w:trPr/>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Designer</w:t>
            </w:r>
          </w:p>
        </w:tc>
        <w:tc>
          <w:tcPr>
            <w:tcW w:w="43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Mise en forme de l’application et gestion de la vue utilisateur</w:t>
            </w:r>
          </w:p>
        </w:tc>
        <w:tc>
          <w:tcPr>
            <w:tcW w:w="1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300 000</w:t>
            </w:r>
          </w:p>
        </w:tc>
      </w:tr>
      <w:tr>
        <w:tblPrEx/>
        <w:trPr/>
        <w:tc>
          <w:tcPr>
            <w:tcW w:w="28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Testeur</w:t>
            </w:r>
          </w:p>
        </w:tc>
        <w:tc>
          <w:tcPr>
            <w:tcW w:w="43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Tests et validation de la solution obtenue</w:t>
            </w:r>
          </w:p>
        </w:tc>
        <w:tc>
          <w:tcPr>
            <w:tcW w:w="19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150 000</w:t>
            </w:r>
          </w:p>
        </w:tc>
      </w:tr>
      <w:tr>
        <w:tblPrEx/>
        <w:trPr/>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Formateur</w:t>
            </w:r>
          </w:p>
        </w:tc>
        <w:tc>
          <w:tcPr>
            <w:tcW w:w="43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Formation des futurs utilisateurs de la plateforme</w:t>
            </w:r>
          </w:p>
        </w:tc>
        <w:tc>
          <w:tcPr>
            <w:tcW w:w="1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300 000</w:t>
            </w:r>
          </w:p>
        </w:tc>
      </w:tr>
      <w:tr>
        <w:tblPrEx/>
        <w:trPr/>
        <w:tc>
          <w:tcPr>
            <w:tcW w:w="28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left"/>
              <w:rPr/>
            </w:pPr>
            <w:r>
              <w:rPr>
                <w:rFonts w:ascii="Arial" w:cs="Arial" w:eastAsia="Arial" w:hAnsi="Arial"/>
                <w:b/>
                <w:bCs/>
                <w:color w:val="1a3a5c"/>
                <w:sz w:val="20"/>
                <w:szCs w:val="20"/>
              </w:rPr>
              <w:t>TOTAL RESSOURCES HUMAINES</w:t>
            </w:r>
          </w:p>
        </w:tc>
        <w:tc>
          <w:tcPr>
            <w:tcW w:w="43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p>
        </w:tc>
        <w:tc>
          <w:tcPr>
            <w:tcW w:w="1926"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r>
              <w:rPr>
                <w:rFonts w:ascii="Arial" w:cs="Arial" w:eastAsia="Arial" w:hAnsi="Arial"/>
                <w:b/>
                <w:bCs/>
                <w:color w:val="1a3a5c"/>
                <w:sz w:val="20"/>
                <w:szCs w:val="20"/>
              </w:rPr>
              <w:t>[object Object]</w:t>
            </w:r>
          </w:p>
        </w:tc>
      </w:tr>
    </w:tbl>
    <w:p>
      <w:pPr>
        <w:pStyle w:val="style0"/>
        <w:spacing w:before="0" w:after="14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III.4. Estimatif Financier Global — Projet Informatique</w:t>
      </w:r>
    </w:p>
    <w:p>
      <w:pPr>
        <w:pStyle w:val="style0"/>
        <w:spacing w:before="0" w:after="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5100"/>
        <w:gridCol w:w="3926"/>
      </w:tblGrid>
      <w:tr>
        <w:trPr/>
        <w:tc>
          <w:tcPr>
            <w:tcW w:w="51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Types de ressources</w:t>
            </w:r>
          </w:p>
        </w:tc>
        <w:tc>
          <w:tcPr>
            <w:tcW w:w="3926"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Montant (FCFA)</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Ressources logicielles</w:t>
            </w:r>
          </w:p>
        </w:tc>
        <w:tc>
          <w:tcPr>
            <w:tcW w:w="3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2 114 600</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Ressources matérielles</w:t>
            </w:r>
          </w:p>
        </w:tc>
        <w:tc>
          <w:tcPr>
            <w:tcW w:w="39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1 137 000</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Ressources humaines</w:t>
            </w:r>
          </w:p>
        </w:tc>
        <w:tc>
          <w:tcPr>
            <w:tcW w:w="3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3 050 000</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bCs/>
                <w:color w:val="2c2c2c"/>
                <w:sz w:val="20"/>
                <w:szCs w:val="20"/>
              </w:rPr>
              <w:t>Total provisoire</w:t>
            </w:r>
          </w:p>
        </w:tc>
        <w:tc>
          <w:tcPr>
            <w:tcW w:w="39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bCs/>
                <w:color w:val="2c2c2c"/>
                <w:sz w:val="20"/>
                <w:szCs w:val="20"/>
              </w:rPr>
              <w:t>6 301 600</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Imprévus (10 % du total provisoire)</w:t>
            </w:r>
          </w:p>
        </w:tc>
        <w:tc>
          <w:tcPr>
            <w:tcW w:w="3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630 160</w:t>
            </w:r>
          </w:p>
        </w:tc>
      </w:tr>
      <w:tr>
        <w:tblPrEx/>
        <w:trPr/>
        <w:tc>
          <w:tcPr>
            <w:tcW w:w="51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left"/>
              <w:rPr/>
            </w:pPr>
            <w:r>
              <w:rPr>
                <w:rFonts w:ascii="Arial" w:cs="Arial" w:eastAsia="Arial" w:hAnsi="Arial"/>
                <w:b/>
                <w:bCs/>
                <w:color w:val="1a3a5c"/>
                <w:sz w:val="20"/>
                <w:szCs w:val="20"/>
              </w:rPr>
              <w:t>[object Object]</w:t>
            </w:r>
          </w:p>
        </w:tc>
        <w:tc>
          <w:tcPr>
            <w:tcW w:w="3926"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r>
              <w:rPr>
                <w:rFonts w:ascii="Arial" w:cs="Arial" w:eastAsia="Arial" w:hAnsi="Arial"/>
                <w:b/>
                <w:bCs/>
                <w:color w:val="1a3a5c"/>
                <w:sz w:val="20"/>
                <w:szCs w:val="20"/>
              </w:rPr>
              <w:t>[object Object]</w:t>
            </w:r>
          </w:p>
        </w:tc>
      </w:tr>
    </w:tbl>
    <w:p>
      <w:pPr>
        <w:pStyle w:val="style0"/>
        <w:spacing w:before="0" w:after="60"/>
        <w:rPr/>
      </w:pPr>
    </w:p>
    <w:p>
      <w:pPr>
        <w:pStyle w:val="style0"/>
        <w:spacing w:before="60" w:after="60"/>
        <w:rPr/>
      </w:pPr>
      <w:r>
        <w:rPr>
          <w:rFonts w:ascii="Arial" w:cs="Arial" w:eastAsia="Arial" w:hAnsi="Arial"/>
          <w:i/>
          <w:iCs/>
          <w:color w:val="666666"/>
          <w:sz w:val="19"/>
          <w:szCs w:val="19"/>
        </w:rPr>
        <w:t>En lettres : Six millions neuf cent trente et un mille sept cent soixante francs CFA</w:t>
      </w:r>
    </w:p>
    <w:p>
      <w:pPr>
        <w:pStyle w:val="style0"/>
        <w:pBdr>
          <w:bottom w:val="single" w:sz="3" w:space="1" w:color="c8960c"/>
        </w:pBdr>
        <w:spacing w:before="180" w:after="1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9026"/>
      </w:tblGrid>
      <w:tr>
        <w:trPr/>
        <w:tc>
          <w:tcPr>
            <w:tcW w:w="9026" w:type="dxa"/>
            <w:tcBorders>
              <w:top w:val="single" w:sz="4" w:space="0" w:color="1a3a5c"/>
              <w:left w:val="thick" w:sz="14" w:space="0" w:color="c8960c"/>
              <w:bottom w:val="single" w:sz="4" w:space="0" w:color="1a3a5c"/>
              <w:right w:val="none" w:sz="4" w:space="0" w:color="auto"/>
            </w:tcBorders>
            <w:shd w:val="clear" w:color="auto" w:fill="d6e4f0"/>
            <w:tcMar>
              <w:top w:w="120" w:type="dxa"/>
              <w:left w:w="200" w:type="dxa"/>
              <w:bottom w:w="120" w:type="dxa"/>
              <w:right w:w="160" w:type="dxa"/>
            </w:tcMar>
          </w:tcPr>
          <w:p>
            <w:pPr>
              <w:pStyle w:val="style0"/>
              <w:rPr/>
            </w:pPr>
            <w:r>
              <w:rPr>
                <w:rFonts w:ascii="Arial" w:cs="Arial" w:eastAsia="Arial" w:hAnsi="Arial"/>
                <w:b/>
                <w:bCs/>
                <w:color w:val="c8960c"/>
                <w:sz w:val="26"/>
                <w:szCs w:val="26"/>
              </w:rPr>
              <w:t xml:space="preserve">IV.  </w:t>
            </w:r>
            <w:r>
              <w:rPr>
                <w:rFonts w:ascii="Arial" w:cs="Arial" w:eastAsia="Arial" w:hAnsi="Arial"/>
                <w:b/>
                <w:bCs/>
                <w:color w:val="1a3a5c"/>
                <w:sz w:val="26"/>
                <w:szCs w:val="26"/>
              </w:rPr>
              <w:t>PROJET D’ÉLEVAGE DE POULETS DE CHAIR</w:t>
            </w:r>
          </w:p>
        </w:tc>
      </w:tr>
    </w:tbl>
    <w:p>
      <w:pPr>
        <w:pStyle w:val="style0"/>
        <w:spacing w:before="0" w:after="12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IV.1. Résumé Exécutif</w:t>
      </w:r>
    </w:p>
    <w:p>
      <w:pPr>
        <w:pStyle w:val="style0"/>
        <w:spacing w:before="0" w:after="90"/>
        <w:ind w:left="0"/>
        <w:rPr/>
      </w:pPr>
      <w:r>
        <w:rPr>
          <w:rFonts w:ascii="Arial" w:cs="Arial" w:eastAsia="Arial" w:hAnsi="Arial"/>
          <w:color w:val="2c2c2c"/>
          <w:sz w:val="21"/>
          <w:szCs w:val="21"/>
        </w:rPr>
        <w:t>COMMUNITY SARL est un projet d’élevage moderne de poulets de chair basé à Yaoundé – Eloumden. Le projet repose sur la construction d’un bâtiment à deux niveaux avec une capacité totale de 6 000 poulets par cycle. Le capital global est de 25 000 000 FCFA.</w:t>
      </w:r>
    </w:p>
    <w:p>
      <w:pPr>
        <w:pStyle w:val="style0"/>
        <w:spacing w:before="0" w:after="10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IV.2. Analyse du Marché</w:t>
      </w:r>
    </w:p>
    <w:p>
      <w:pPr>
        <w:pStyle w:val="style179"/>
        <w:numPr>
          <w:ilvl w:val="0"/>
          <w:numId w:val="1"/>
        </w:numPr>
        <w:spacing w:before="40" w:after="60"/>
        <w:rPr/>
      </w:pPr>
      <w:r>
        <w:rPr>
          <w:rFonts w:ascii="Arial" w:cs="Arial" w:eastAsia="Arial" w:hAnsi="Arial"/>
          <w:color w:val="2c2c2c"/>
          <w:sz w:val="21"/>
          <w:szCs w:val="21"/>
        </w:rPr>
        <w:t>Demande très forte au Cameroun avec des pénuries fréquentes dans les grandes villes.</w:t>
      </w:r>
    </w:p>
    <w:p>
      <w:pPr>
        <w:pStyle w:val="style179"/>
        <w:numPr>
          <w:ilvl w:val="0"/>
          <w:numId w:val="1"/>
        </w:numPr>
        <w:spacing w:before="40" w:after="60"/>
        <w:rPr/>
      </w:pPr>
      <w:r>
        <w:rPr>
          <w:rFonts w:ascii="Arial" w:cs="Arial" w:eastAsia="Arial" w:hAnsi="Arial"/>
          <w:color w:val="2c2c2c"/>
          <w:sz w:val="21"/>
          <w:szCs w:val="21"/>
        </w:rPr>
        <w:t>Prix de vente : entre 3 500 et 6 000 FCFA par poulet.</w:t>
      </w:r>
    </w:p>
    <w:p>
      <w:pPr>
        <w:pStyle w:val="style179"/>
        <w:numPr>
          <w:ilvl w:val="0"/>
          <w:numId w:val="1"/>
        </w:numPr>
        <w:spacing w:before="40" w:after="60"/>
        <w:rPr/>
      </w:pPr>
      <w:r>
        <w:rPr>
          <w:rFonts w:ascii="Arial" w:cs="Arial" w:eastAsia="Arial" w:hAnsi="Arial"/>
          <w:color w:val="2c2c2c"/>
          <w:sz w:val="21"/>
          <w:szCs w:val="21"/>
        </w:rPr>
        <w:t>Clients principaux : ménages, restaurants et marchés.</w:t>
      </w:r>
    </w:p>
    <w:p>
      <w:pPr>
        <w:pStyle w:val="style179"/>
        <w:numPr>
          <w:ilvl w:val="0"/>
          <w:numId w:val="1"/>
        </w:numPr>
        <w:spacing w:before="40" w:after="60"/>
        <w:rPr/>
      </w:pPr>
      <w:r>
        <w:rPr>
          <w:rFonts w:ascii="Arial" w:cs="Arial" w:eastAsia="Arial" w:hAnsi="Arial"/>
          <w:color w:val="2c2c2c"/>
          <w:sz w:val="21"/>
          <w:szCs w:val="21"/>
        </w:rPr>
        <w:t>Secteur très rentable avec une demande supérieure à l’offre.</w:t>
      </w:r>
    </w:p>
    <w:p>
      <w:pPr>
        <w:pStyle w:val="style0"/>
        <w:spacing w:before="0" w:after="10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IV.3. Description Technique</w:t>
      </w:r>
    </w:p>
    <w:p>
      <w:pPr>
        <w:pStyle w:val="style179"/>
        <w:numPr>
          <w:ilvl w:val="0"/>
          <w:numId w:val="1"/>
        </w:numPr>
        <w:spacing w:before="40" w:after="60"/>
        <w:rPr/>
      </w:pPr>
      <w:r>
        <w:rPr>
          <w:rFonts w:ascii="Arial" w:cs="Arial" w:eastAsia="Arial" w:hAnsi="Arial"/>
          <w:color w:val="2c2c2c"/>
          <w:sz w:val="21"/>
          <w:szCs w:val="21"/>
        </w:rPr>
        <w:t>Bâtiment moderne sur 2 niveaux — capacité : 3 000 poulets par niveau.</w:t>
      </w:r>
    </w:p>
    <w:p>
      <w:pPr>
        <w:pStyle w:val="style179"/>
        <w:numPr>
          <w:ilvl w:val="0"/>
          <w:numId w:val="1"/>
        </w:numPr>
        <w:spacing w:before="40" w:after="60"/>
        <w:rPr/>
      </w:pPr>
      <w:r>
        <w:rPr>
          <w:rFonts w:ascii="Arial" w:cs="Arial" w:eastAsia="Arial" w:hAnsi="Arial"/>
          <w:color w:val="2c2c2c"/>
          <w:sz w:val="21"/>
          <w:szCs w:val="21"/>
        </w:rPr>
        <w:t>Système : ventilation, eau automatique, éclairage.</w:t>
      </w:r>
    </w:p>
    <w:p>
      <w:pPr>
        <w:pStyle w:val="style179"/>
        <w:numPr>
          <w:ilvl w:val="0"/>
          <w:numId w:val="1"/>
        </w:numPr>
        <w:spacing w:before="40" w:after="60"/>
        <w:rPr/>
      </w:pPr>
      <w:r>
        <w:rPr>
          <w:rFonts w:ascii="Arial" w:cs="Arial" w:eastAsia="Arial" w:hAnsi="Arial"/>
          <w:color w:val="2c2c2c"/>
          <w:sz w:val="21"/>
          <w:szCs w:val="21"/>
        </w:rPr>
        <w:t>Cycle de production : 45 jours — 6 cycles par an.</w:t>
      </w:r>
    </w:p>
    <w:p>
      <w:pPr>
        <w:pStyle w:val="style0"/>
        <w:spacing w:before="0" w:after="12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IV.4. Coût de Construction du Bâtiment</w:t>
      </w:r>
    </w:p>
    <w:p>
      <w:pPr>
        <w:pStyle w:val="style0"/>
        <w:spacing w:before="0" w:after="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5100"/>
        <w:gridCol w:w="3926"/>
      </w:tblGrid>
      <w:tr>
        <w:trPr/>
        <w:tc>
          <w:tcPr>
            <w:tcW w:w="51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Poste de travaux</w:t>
            </w:r>
          </w:p>
        </w:tc>
        <w:tc>
          <w:tcPr>
            <w:tcW w:w="3926"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Montant (FCFA)</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Terrassement</w:t>
            </w:r>
          </w:p>
        </w:tc>
        <w:tc>
          <w:tcPr>
            <w:tcW w:w="3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500 000</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Fondation</w:t>
            </w:r>
          </w:p>
        </w:tc>
        <w:tc>
          <w:tcPr>
            <w:tcW w:w="39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1 500 000</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Murs</w:t>
            </w:r>
          </w:p>
        </w:tc>
        <w:tc>
          <w:tcPr>
            <w:tcW w:w="3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2 000 000</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Structure béton</w:t>
            </w:r>
          </w:p>
        </w:tc>
        <w:tc>
          <w:tcPr>
            <w:tcW w:w="39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1 500 000</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Toiture</w:t>
            </w:r>
          </w:p>
        </w:tc>
        <w:tc>
          <w:tcPr>
            <w:tcW w:w="3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2 000 000</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Plomberie</w:t>
            </w:r>
          </w:p>
        </w:tc>
        <w:tc>
          <w:tcPr>
            <w:tcW w:w="39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500 000</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Électricité</w:t>
            </w:r>
          </w:p>
        </w:tc>
        <w:tc>
          <w:tcPr>
            <w:tcW w:w="3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500 000</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Ventilation</w:t>
            </w:r>
          </w:p>
        </w:tc>
        <w:tc>
          <w:tcPr>
            <w:tcW w:w="39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1 000 000</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Finitions</w:t>
            </w:r>
          </w:p>
        </w:tc>
        <w:tc>
          <w:tcPr>
            <w:tcW w:w="3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1 000 000</w:t>
            </w:r>
          </w:p>
        </w:tc>
      </w:tr>
      <w:tr>
        <w:tblPrEx/>
        <w:trPr/>
        <w:tc>
          <w:tcPr>
            <w:tcW w:w="51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left"/>
              <w:rPr/>
            </w:pPr>
            <w:r>
              <w:rPr>
                <w:rFonts w:ascii="Arial" w:cs="Arial" w:eastAsia="Arial" w:hAnsi="Arial"/>
                <w:b/>
                <w:bCs/>
                <w:color w:val="1a3a5c"/>
                <w:sz w:val="20"/>
                <w:szCs w:val="20"/>
              </w:rPr>
              <w:t>TOTAL CONSTRUCTION</w:t>
            </w:r>
          </w:p>
        </w:tc>
        <w:tc>
          <w:tcPr>
            <w:tcW w:w="3926"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r>
              <w:rPr>
                <w:rFonts w:ascii="Arial" w:cs="Arial" w:eastAsia="Arial" w:hAnsi="Arial"/>
                <w:b/>
                <w:bCs/>
                <w:color w:val="1a3a5c"/>
                <w:sz w:val="20"/>
                <w:szCs w:val="20"/>
              </w:rPr>
              <w:t>[object Object]</w:t>
            </w:r>
          </w:p>
        </w:tc>
      </w:tr>
    </w:tbl>
    <w:p>
      <w:pPr>
        <w:pStyle w:val="style0"/>
        <w:spacing w:before="0" w:after="60"/>
        <w:rPr/>
      </w:pPr>
    </w:p>
    <w:p>
      <w:pPr>
        <w:pStyle w:val="style0"/>
        <w:spacing w:before="60" w:after="60"/>
        <w:rPr/>
      </w:pPr>
      <w:r>
        <w:rPr>
          <w:rFonts w:ascii="Arial" w:cs="Arial" w:eastAsia="Arial" w:hAnsi="Arial"/>
          <w:i/>
          <w:iCs/>
          <w:color w:val="666666"/>
          <w:sz w:val="19"/>
          <w:szCs w:val="19"/>
        </w:rPr>
        <w:t>NB : Le total réel de la construction est de 10 500 000 FCFA conformément au détail des postes. Le budget global du projet poulets a été ajusté en conséquence.</w:t>
      </w:r>
    </w:p>
    <w:p>
      <w:pPr>
        <w:pStyle w:val="style0"/>
        <w:spacing w:before="0" w:after="14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IV.5. Budget Global du Projet Élevage</w:t>
      </w:r>
    </w:p>
    <w:p>
      <w:pPr>
        <w:pStyle w:val="style0"/>
        <w:spacing w:before="0" w:after="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5100"/>
        <w:gridCol w:w="3926"/>
      </w:tblGrid>
      <w:tr>
        <w:trPr/>
        <w:tc>
          <w:tcPr>
            <w:tcW w:w="51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Poste</w:t>
            </w:r>
          </w:p>
        </w:tc>
        <w:tc>
          <w:tcPr>
            <w:tcW w:w="3926"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Montant (FCFA)</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Construction du bâtiment</w:t>
            </w:r>
          </w:p>
        </w:tc>
        <w:tc>
          <w:tcPr>
            <w:tcW w:w="3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10 500 000</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Achat des poussins (6 000)</w:t>
            </w:r>
          </w:p>
        </w:tc>
        <w:tc>
          <w:tcPr>
            <w:tcW w:w="39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6 000 000</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Alimentation</w:t>
            </w:r>
          </w:p>
        </w:tc>
        <w:tc>
          <w:tcPr>
            <w:tcW w:w="3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5 000 000</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Matériel d’élevage</w:t>
            </w:r>
          </w:p>
        </w:tc>
        <w:tc>
          <w:tcPr>
            <w:tcW w:w="39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2 000 000</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Vaccins et suivi vétérinaire</w:t>
            </w:r>
          </w:p>
        </w:tc>
        <w:tc>
          <w:tcPr>
            <w:tcW w:w="3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1 000 000</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Divers et imprévus</w:t>
            </w:r>
          </w:p>
        </w:tc>
        <w:tc>
          <w:tcPr>
            <w:tcW w:w="39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500 000</w:t>
            </w:r>
          </w:p>
        </w:tc>
      </w:tr>
      <w:tr>
        <w:tblPrEx/>
        <w:trPr/>
        <w:tc>
          <w:tcPr>
            <w:tcW w:w="51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left"/>
              <w:rPr/>
            </w:pPr>
            <w:r>
              <w:rPr>
                <w:rFonts w:ascii="Arial" w:cs="Arial" w:eastAsia="Arial" w:hAnsi="Arial"/>
                <w:b/>
                <w:bCs/>
                <w:color w:val="1a3a5c"/>
                <w:sz w:val="20"/>
                <w:szCs w:val="20"/>
              </w:rPr>
              <w:t>TOTAL PROJET ÉLEVAGE</w:t>
            </w:r>
          </w:p>
        </w:tc>
        <w:tc>
          <w:tcPr>
            <w:tcW w:w="3926"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r>
              <w:rPr>
                <w:rFonts w:ascii="Arial" w:cs="Arial" w:eastAsia="Arial" w:hAnsi="Arial"/>
                <w:b/>
                <w:bCs/>
                <w:color w:val="1a3a5c"/>
                <w:sz w:val="20"/>
                <w:szCs w:val="20"/>
              </w:rPr>
              <w:t>[object Object]</w:t>
            </w:r>
          </w:p>
        </w:tc>
      </w:tr>
    </w:tbl>
    <w:p>
      <w:pPr>
        <w:pStyle w:val="style0"/>
        <w:spacing w:before="0" w:after="14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IV.6. Production, Exploitation et Rentabilité</w:t>
      </w:r>
    </w:p>
    <w:p>
      <w:pPr>
        <w:pStyle w:val="style0"/>
        <w:spacing w:before="0" w:after="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5100"/>
        <w:gridCol w:w="3926"/>
      </w:tblGrid>
      <w:tr>
        <w:trPr/>
        <w:tc>
          <w:tcPr>
            <w:tcW w:w="51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Indicateur</w:t>
            </w:r>
          </w:p>
        </w:tc>
        <w:tc>
          <w:tcPr>
            <w:tcW w:w="3926"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Valeur</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Poulets par cycle</w:t>
            </w:r>
          </w:p>
        </w:tc>
        <w:tc>
          <w:tcPr>
            <w:tcW w:w="3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6 000</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Mortalité estimée</w:t>
            </w:r>
          </w:p>
        </w:tc>
        <w:tc>
          <w:tcPr>
            <w:tcW w:w="39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10 %</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Poulets vendus par cycle</w:t>
            </w:r>
          </w:p>
        </w:tc>
        <w:tc>
          <w:tcPr>
            <w:tcW w:w="3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5 400</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Prix moyen par poulet</w:t>
            </w:r>
          </w:p>
        </w:tc>
        <w:tc>
          <w:tcPr>
            <w:tcW w:w="39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4 500 FCFA</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Chiffre d’affaires par cycle</w:t>
            </w:r>
          </w:p>
        </w:tc>
        <w:tc>
          <w:tcPr>
            <w:tcW w:w="3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24 300 000 FCFA</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Coût estimé par cycle</w:t>
            </w:r>
          </w:p>
        </w:tc>
        <w:tc>
          <w:tcPr>
            <w:tcW w:w="39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11 000 000 FCFA</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bCs/>
                <w:color w:val="2c2c2c"/>
                <w:sz w:val="20"/>
                <w:szCs w:val="20"/>
              </w:rPr>
              <w:t>Bénéfice par cycle</w:t>
            </w:r>
          </w:p>
        </w:tc>
        <w:tc>
          <w:tcPr>
            <w:tcW w:w="3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bCs/>
                <w:color w:val="2c2c2c"/>
                <w:sz w:val="20"/>
                <w:szCs w:val="20"/>
              </w:rPr>
              <w:t>13 300 000 FCFA</w:t>
            </w:r>
          </w:p>
        </w:tc>
      </w:tr>
      <w:tr>
        <w:tblPrEx/>
        <w:trPr/>
        <w:tc>
          <w:tcPr>
            <w:tcW w:w="51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bCs/>
                <w:color w:val="2c2c2c"/>
                <w:sz w:val="20"/>
                <w:szCs w:val="20"/>
              </w:rPr>
              <w:t>Bénéfice annuel estimé (6 cycles)</w:t>
            </w:r>
          </w:p>
        </w:tc>
        <w:tc>
          <w:tcPr>
            <w:tcW w:w="39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bCs/>
                <w:color w:val="1b6b3a"/>
                <w:sz w:val="20"/>
                <w:szCs w:val="20"/>
              </w:rPr>
              <w:t>79 800 000 FCFA</w:t>
            </w:r>
          </w:p>
        </w:tc>
      </w:tr>
    </w:tbl>
    <w:p>
      <w:pPr>
        <w:pStyle w:val="style0"/>
        <w:pBdr>
          <w:bottom w:val="single" w:sz="3" w:space="1" w:color="c8960c"/>
        </w:pBdr>
        <w:spacing w:before="180" w:after="1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9026"/>
      </w:tblGrid>
      <w:tr>
        <w:trPr/>
        <w:tc>
          <w:tcPr>
            <w:tcW w:w="9026" w:type="dxa"/>
            <w:tcBorders>
              <w:top w:val="single" w:sz="4" w:space="0" w:color="1a3a5c"/>
              <w:left w:val="thick" w:sz="14" w:space="0" w:color="c8960c"/>
              <w:bottom w:val="single" w:sz="4" w:space="0" w:color="1a3a5c"/>
              <w:right w:val="none" w:sz="4" w:space="0" w:color="auto"/>
            </w:tcBorders>
            <w:shd w:val="clear" w:color="auto" w:fill="d6e4f0"/>
            <w:tcMar>
              <w:top w:w="120" w:type="dxa"/>
              <w:left w:w="200" w:type="dxa"/>
              <w:bottom w:w="120" w:type="dxa"/>
              <w:right w:w="160" w:type="dxa"/>
            </w:tcMar>
          </w:tcPr>
          <w:p>
            <w:pPr>
              <w:pStyle w:val="style0"/>
              <w:rPr/>
            </w:pPr>
            <w:r>
              <w:rPr>
                <w:rFonts w:ascii="Arial" w:cs="Arial" w:eastAsia="Arial" w:hAnsi="Arial"/>
                <w:b/>
                <w:bCs/>
                <w:color w:val="c8960c"/>
                <w:sz w:val="26"/>
                <w:szCs w:val="26"/>
              </w:rPr>
              <w:t xml:space="preserve">V.  </w:t>
            </w:r>
            <w:r>
              <w:rPr>
                <w:rFonts w:ascii="Arial" w:cs="Arial" w:eastAsia="Arial" w:hAnsi="Arial"/>
                <w:b/>
                <w:bCs/>
                <w:color w:val="1a3a5c"/>
                <w:sz w:val="26"/>
                <w:szCs w:val="26"/>
              </w:rPr>
              <w:t>PROJET AGRICOLE</w:t>
            </w:r>
          </w:p>
        </w:tc>
      </w:tr>
    </w:tbl>
    <w:p>
      <w:pPr>
        <w:pStyle w:val="style0"/>
        <w:spacing w:before="0" w:after="120"/>
        <w:rPr/>
      </w:pPr>
    </w:p>
    <w:p>
      <w:pPr>
        <w:pStyle w:val="style0"/>
        <w:spacing w:before="0" w:after="90"/>
        <w:ind w:left="0"/>
        <w:rPr/>
      </w:pPr>
      <w:r>
        <w:rPr>
          <w:rFonts w:ascii="Arial" w:cs="Arial" w:eastAsia="Arial" w:hAnsi="Arial"/>
          <w:color w:val="2c2c2c"/>
          <w:sz w:val="21"/>
          <w:szCs w:val="21"/>
        </w:rPr>
        <w:t>L’entreprise COMMUNITY SARL développera plusieurs cultures sur 5 hectares à Mbankomo. Les cultures principales sont le maïs, la banane plantain, et les herbes aromatiques (rondelles/ciboule, céleri, basilic, persil).</w:t>
      </w:r>
    </w:p>
    <w:p>
      <w:pPr>
        <w:pStyle w:val="style0"/>
        <w:spacing w:before="0" w:after="10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V.1. Itinéraires Techniques</w:t>
      </w:r>
    </w:p>
    <w:p>
      <w:pPr>
        <w:pStyle w:val="style0"/>
        <w:spacing w:before="0" w:after="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800"/>
        <w:gridCol w:w="1600"/>
        <w:gridCol w:w="1600"/>
        <w:gridCol w:w="3026"/>
      </w:tblGrid>
      <w:tr>
        <w:trPr/>
        <w:tc>
          <w:tcPr>
            <w:tcW w:w="28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Culture</w:t>
            </w:r>
          </w:p>
        </w:tc>
        <w:tc>
          <w:tcPr>
            <w:tcW w:w="16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Superficie</w:t>
            </w:r>
          </w:p>
        </w:tc>
        <w:tc>
          <w:tcPr>
            <w:tcW w:w="16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Zone</w:t>
            </w:r>
          </w:p>
        </w:tc>
        <w:tc>
          <w:tcPr>
            <w:tcW w:w="3026"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Estimation budgétaire (FCFA)</w:t>
            </w:r>
          </w:p>
        </w:tc>
      </w:tr>
      <w:tr>
        <w:tblPrEx/>
        <w:trPr/>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Maïs</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2 hectares</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Mbankomo</w:t>
            </w:r>
          </w:p>
        </w:tc>
        <w:tc>
          <w:tcPr>
            <w:tcW w:w="30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2 500 000</w:t>
            </w:r>
          </w:p>
        </w:tc>
      </w:tr>
      <w:tr>
        <w:tblPrEx/>
        <w:trPr/>
        <w:tc>
          <w:tcPr>
            <w:tcW w:w="28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Banane plantain</w:t>
            </w:r>
          </w:p>
        </w:tc>
        <w:tc>
          <w:tcPr>
            <w:tcW w:w="16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2 hectares</w:t>
            </w:r>
          </w:p>
        </w:tc>
        <w:tc>
          <w:tcPr>
            <w:tcW w:w="16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Mbankomo</w:t>
            </w:r>
          </w:p>
        </w:tc>
        <w:tc>
          <w:tcPr>
            <w:tcW w:w="30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1 500 000</w:t>
            </w:r>
          </w:p>
        </w:tc>
      </w:tr>
      <w:tr>
        <w:tblPrEx/>
        <w:trPr/>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Rondelles (oignon vert / ciboule)</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2 500 m²</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Maraîchage</w:t>
            </w:r>
          </w:p>
        </w:tc>
        <w:tc>
          <w:tcPr>
            <w:tcW w:w="30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320 000</w:t>
            </w:r>
          </w:p>
        </w:tc>
      </w:tr>
      <w:tr>
        <w:tblPrEx/>
        <w:trPr/>
        <w:tc>
          <w:tcPr>
            <w:tcW w:w="28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Céleri</w:t>
            </w:r>
          </w:p>
        </w:tc>
        <w:tc>
          <w:tcPr>
            <w:tcW w:w="16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2 500 m²</w:t>
            </w:r>
          </w:p>
        </w:tc>
        <w:tc>
          <w:tcPr>
            <w:tcW w:w="16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Maraîchage</w:t>
            </w:r>
          </w:p>
        </w:tc>
        <w:tc>
          <w:tcPr>
            <w:tcW w:w="30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380 000</w:t>
            </w:r>
          </w:p>
        </w:tc>
      </w:tr>
      <w:tr>
        <w:tblPrEx/>
        <w:trPr/>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Basilic</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2 500 m²</w:t>
            </w:r>
          </w:p>
        </w:tc>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Maraîchage</w:t>
            </w:r>
          </w:p>
        </w:tc>
        <w:tc>
          <w:tcPr>
            <w:tcW w:w="30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205 000</w:t>
            </w:r>
          </w:p>
        </w:tc>
      </w:tr>
      <w:tr>
        <w:tblPrEx/>
        <w:trPr/>
        <w:tc>
          <w:tcPr>
            <w:tcW w:w="28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Persil</w:t>
            </w:r>
          </w:p>
        </w:tc>
        <w:tc>
          <w:tcPr>
            <w:tcW w:w="16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center"/>
              <w:rPr/>
            </w:pPr>
            <w:r>
              <w:rPr>
                <w:rFonts w:ascii="Arial" w:cs="Arial" w:eastAsia="Arial" w:hAnsi="Arial"/>
                <w:b w:val="false"/>
                <w:bCs w:val="false"/>
                <w:color w:val="2c2c2c"/>
                <w:sz w:val="20"/>
                <w:szCs w:val="20"/>
              </w:rPr>
              <w:t>2 500 m²</w:t>
            </w:r>
          </w:p>
        </w:tc>
        <w:tc>
          <w:tcPr>
            <w:tcW w:w="16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Maraîchage</w:t>
            </w:r>
          </w:p>
        </w:tc>
        <w:tc>
          <w:tcPr>
            <w:tcW w:w="30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240 000</w:t>
            </w:r>
          </w:p>
        </w:tc>
      </w:tr>
      <w:tr>
        <w:tblPrEx/>
        <w:trPr/>
        <w:tc>
          <w:tcPr>
            <w:tcW w:w="28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left"/>
              <w:rPr/>
            </w:pPr>
            <w:r>
              <w:rPr>
                <w:rFonts w:ascii="Arial" w:cs="Arial" w:eastAsia="Arial" w:hAnsi="Arial"/>
                <w:b/>
                <w:bCs/>
                <w:color w:val="1a3a5c"/>
                <w:sz w:val="20"/>
                <w:szCs w:val="20"/>
              </w:rPr>
              <w:t>TOTAL PROJET AGRICOLE</w:t>
            </w:r>
          </w:p>
        </w:tc>
        <w:tc>
          <w:tcPr>
            <w:tcW w:w="16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p>
        </w:tc>
        <w:tc>
          <w:tcPr>
            <w:tcW w:w="16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p>
        </w:tc>
        <w:tc>
          <w:tcPr>
            <w:tcW w:w="3026"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r>
              <w:rPr>
                <w:rFonts w:ascii="Arial" w:cs="Arial" w:eastAsia="Arial" w:hAnsi="Arial"/>
                <w:b/>
                <w:bCs/>
                <w:color w:val="1a3a5c"/>
                <w:sz w:val="20"/>
                <w:szCs w:val="20"/>
              </w:rPr>
              <w:t>[object Object]</w:t>
            </w:r>
          </w:p>
        </w:tc>
      </w:tr>
    </w:tbl>
    <w:p>
      <w:pPr>
        <w:pStyle w:val="style0"/>
        <w:spacing w:before="0" w:after="80"/>
        <w:rPr/>
      </w:pPr>
    </w:p>
    <w:p>
      <w:pPr>
        <w:pStyle w:val="style0"/>
        <w:spacing w:before="60" w:after="60"/>
        <w:rPr/>
      </w:pPr>
      <w:r>
        <w:rPr>
          <w:rFonts w:ascii="Arial" w:cs="Arial" w:eastAsia="Arial" w:hAnsi="Arial"/>
          <w:i/>
          <w:iCs/>
          <w:color w:val="666666"/>
          <w:sz w:val="19"/>
          <w:szCs w:val="19"/>
        </w:rPr>
        <w:t>NB : Le budget total du projet agricole intègre en plus les équipements de mécanisation (débroussailleuse, motoculteur), la main-d’œuvre permanente et les imprévus pour atteindre l’enveloppe globale de 30 000 000 FCFA.</w:t>
      </w:r>
    </w:p>
    <w:p>
      <w:pPr>
        <w:pStyle w:val="style0"/>
        <w:spacing w:before="0" w:after="14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V.2. Synthèse Comparative — Cultures Maraîchères (sur 2 500 m²)</w:t>
      </w:r>
    </w:p>
    <w:p>
      <w:pPr>
        <w:pStyle w:val="style0"/>
        <w:spacing w:before="0" w:after="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000"/>
        <w:gridCol w:w="1500"/>
        <w:gridCol w:w="1700"/>
        <w:gridCol w:w="1700"/>
        <w:gridCol w:w="2126"/>
      </w:tblGrid>
      <w:tr>
        <w:trPr/>
        <w:tc>
          <w:tcPr>
            <w:tcW w:w="20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Culture</w:t>
            </w:r>
          </w:p>
        </w:tc>
        <w:tc>
          <w:tcPr>
            <w:tcW w:w="15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Coûts (FCFA)</w:t>
            </w:r>
          </w:p>
        </w:tc>
        <w:tc>
          <w:tcPr>
            <w:tcW w:w="17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Recettes min. (FCFA)</w:t>
            </w:r>
          </w:p>
        </w:tc>
        <w:tc>
          <w:tcPr>
            <w:tcW w:w="17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Recettes max. (FCFA)</w:t>
            </w:r>
          </w:p>
        </w:tc>
        <w:tc>
          <w:tcPr>
            <w:tcW w:w="2126"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Bénéfice estimé (FCFA)</w:t>
            </w:r>
          </w:p>
        </w:tc>
      </w:tr>
      <w:tr>
        <w:tblPrEx/>
        <w:trPr/>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Rondelles / Ciboule</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320 000</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750 000</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2 500 000</w:t>
            </w:r>
          </w:p>
        </w:tc>
        <w:tc>
          <w:tcPr>
            <w:tcW w:w="21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400 000 – 2 000 000</w:t>
            </w:r>
          </w:p>
        </w:tc>
      </w:tr>
      <w:tr>
        <w:tblPrEx/>
        <w:trPr/>
        <w:tc>
          <w:tcPr>
            <w:tcW w:w="20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Céleri</w:t>
            </w:r>
          </w:p>
        </w:tc>
        <w:tc>
          <w:tcPr>
            <w:tcW w:w="15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380 000</w:t>
            </w:r>
          </w:p>
        </w:tc>
        <w:tc>
          <w:tcPr>
            <w:tcW w:w="17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1 750 000</w:t>
            </w:r>
          </w:p>
        </w:tc>
        <w:tc>
          <w:tcPr>
            <w:tcW w:w="17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4 800 000</w:t>
            </w:r>
          </w:p>
        </w:tc>
        <w:tc>
          <w:tcPr>
            <w:tcW w:w="21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1 300 000 – 4 400 000</w:t>
            </w:r>
          </w:p>
        </w:tc>
      </w:tr>
      <w:tr>
        <w:tblPrEx/>
        <w:trPr/>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Basilic</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205 000</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1 000 000</w:t>
            </w:r>
          </w:p>
        </w:tc>
        <w:tc>
          <w:tcPr>
            <w:tcW w:w="17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2 600 000</w:t>
            </w:r>
          </w:p>
        </w:tc>
        <w:tc>
          <w:tcPr>
            <w:tcW w:w="21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800 000 – 2 300 000</w:t>
            </w:r>
          </w:p>
        </w:tc>
      </w:tr>
      <w:tr>
        <w:tblPrEx/>
        <w:trPr/>
        <w:tc>
          <w:tcPr>
            <w:tcW w:w="20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Persil</w:t>
            </w:r>
          </w:p>
        </w:tc>
        <w:tc>
          <w:tcPr>
            <w:tcW w:w="15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240 000</w:t>
            </w:r>
          </w:p>
        </w:tc>
        <w:tc>
          <w:tcPr>
            <w:tcW w:w="17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1 250 000</w:t>
            </w:r>
          </w:p>
        </w:tc>
        <w:tc>
          <w:tcPr>
            <w:tcW w:w="17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3 000 000</w:t>
            </w:r>
          </w:p>
        </w:tc>
        <w:tc>
          <w:tcPr>
            <w:tcW w:w="21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1 000 000 – 2 700 000</w:t>
            </w:r>
          </w:p>
        </w:tc>
      </w:tr>
      <w:tr>
        <w:tblPrEx/>
        <w:trPr/>
        <w:tc>
          <w:tcPr>
            <w:tcW w:w="20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left"/>
              <w:rPr/>
            </w:pPr>
            <w:r>
              <w:rPr>
                <w:rFonts w:ascii="Arial" w:cs="Arial" w:eastAsia="Arial" w:hAnsi="Arial"/>
                <w:b/>
                <w:bCs/>
                <w:color w:val="1a3a5c"/>
                <w:sz w:val="20"/>
                <w:szCs w:val="20"/>
              </w:rPr>
              <w:t>TOTAL (1 ha — 4 cultures)</w:t>
            </w:r>
          </w:p>
        </w:tc>
        <w:tc>
          <w:tcPr>
            <w:tcW w:w="15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r>
              <w:rPr>
                <w:rFonts w:ascii="Arial" w:cs="Arial" w:eastAsia="Arial" w:hAnsi="Arial"/>
                <w:b/>
                <w:bCs/>
                <w:color w:val="1a3a5c"/>
                <w:sz w:val="20"/>
                <w:szCs w:val="20"/>
              </w:rPr>
              <w:t>1 145 000</w:t>
            </w:r>
          </w:p>
        </w:tc>
        <w:tc>
          <w:tcPr>
            <w:tcW w:w="17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r>
              <w:rPr>
                <w:rFonts w:ascii="Arial" w:cs="Arial" w:eastAsia="Arial" w:hAnsi="Arial"/>
                <w:b/>
                <w:bCs/>
                <w:color w:val="1a3a5c"/>
                <w:sz w:val="20"/>
                <w:szCs w:val="20"/>
              </w:rPr>
              <w:t>4 750 000</w:t>
            </w:r>
          </w:p>
        </w:tc>
        <w:tc>
          <w:tcPr>
            <w:tcW w:w="17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r>
              <w:rPr>
                <w:rFonts w:ascii="Arial" w:cs="Arial" w:eastAsia="Arial" w:hAnsi="Arial"/>
                <w:b/>
                <w:bCs/>
                <w:color w:val="1a3a5c"/>
                <w:sz w:val="20"/>
                <w:szCs w:val="20"/>
              </w:rPr>
              <w:t>12 900 000</w:t>
            </w:r>
          </w:p>
        </w:tc>
        <w:tc>
          <w:tcPr>
            <w:tcW w:w="2126"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r>
              <w:rPr>
                <w:rFonts w:ascii="Arial" w:cs="Arial" w:eastAsia="Arial" w:hAnsi="Arial"/>
                <w:b/>
                <w:bCs/>
                <w:color w:val="1a3a5c"/>
                <w:sz w:val="20"/>
                <w:szCs w:val="20"/>
              </w:rPr>
              <w:t>3 500 000 – 11 400 000</w:t>
            </w:r>
          </w:p>
        </w:tc>
      </w:tr>
    </w:tbl>
    <w:p>
      <w:pPr>
        <w:pStyle w:val="style0"/>
        <w:spacing w:before="0" w:after="80"/>
        <w:rPr/>
      </w:pPr>
    </w:p>
    <w:p>
      <w:pPr>
        <w:pStyle w:val="style0"/>
        <w:spacing w:before="60" w:after="60"/>
        <w:rPr/>
      </w:pPr>
      <w:r>
        <w:rPr>
          <w:rFonts w:ascii="Arial" w:cs="Arial" w:eastAsia="Arial" w:hAnsi="Arial"/>
          <w:i/>
          <w:iCs/>
          <w:color w:val="666666"/>
          <w:sz w:val="19"/>
          <w:szCs w:val="19"/>
        </w:rPr>
        <w:t>Conseil stratégique : Combiner les 4 cultures pour étaler les revenus — Installer une irrigation au goutte-à-goutte — Produire en contre-saison pour doubler les prix.</w:t>
      </w:r>
    </w:p>
    <w:p>
      <w:pPr>
        <w:pStyle w:val="style0"/>
        <w:pBdr>
          <w:bottom w:val="single" w:sz="3" w:space="1" w:color="c8960c"/>
        </w:pBdr>
        <w:spacing w:before="180" w:after="1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9026"/>
      </w:tblGrid>
      <w:tr>
        <w:trPr/>
        <w:tc>
          <w:tcPr>
            <w:tcW w:w="9026" w:type="dxa"/>
            <w:tcBorders>
              <w:top w:val="single" w:sz="4" w:space="0" w:color="1a3a5c"/>
              <w:left w:val="thick" w:sz="14" w:space="0" w:color="c8960c"/>
              <w:bottom w:val="single" w:sz="4" w:space="0" w:color="1a3a5c"/>
              <w:right w:val="none" w:sz="4" w:space="0" w:color="auto"/>
            </w:tcBorders>
            <w:shd w:val="clear" w:color="auto" w:fill="d6e4f0"/>
            <w:tcMar>
              <w:top w:w="120" w:type="dxa"/>
              <w:left w:w="200" w:type="dxa"/>
              <w:bottom w:w="120" w:type="dxa"/>
              <w:right w:w="160" w:type="dxa"/>
            </w:tcMar>
          </w:tcPr>
          <w:p>
            <w:pPr>
              <w:pStyle w:val="style0"/>
              <w:rPr/>
            </w:pPr>
            <w:r>
              <w:rPr>
                <w:rFonts w:ascii="Arial" w:cs="Arial" w:eastAsia="Arial" w:hAnsi="Arial"/>
                <w:b/>
                <w:bCs/>
                <w:color w:val="c8960c"/>
                <w:sz w:val="26"/>
                <w:szCs w:val="26"/>
              </w:rPr>
              <w:t xml:space="preserve">VI.  </w:t>
            </w:r>
            <w:r>
              <w:rPr>
                <w:rFonts w:ascii="Arial" w:cs="Arial" w:eastAsia="Arial" w:hAnsi="Arial"/>
                <w:b/>
                <w:bCs/>
                <w:color w:val="1a3a5c"/>
                <w:sz w:val="26"/>
                <w:szCs w:val="26"/>
              </w:rPr>
              <w:t>ANALYSE DE LA PRODUCTION</w:t>
            </w:r>
          </w:p>
        </w:tc>
      </w:tr>
    </w:tbl>
    <w:p>
      <w:pPr>
        <w:pStyle w:val="style0"/>
        <w:spacing w:before="0" w:after="12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VI.1. Inventaire des Terrains et Bâtiments</w:t>
      </w:r>
    </w:p>
    <w:p>
      <w:pPr>
        <w:pStyle w:val="style0"/>
        <w:spacing w:before="0" w:after="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000"/>
        <w:gridCol w:w="1500"/>
        <w:gridCol w:w="2000"/>
        <w:gridCol w:w="2526"/>
      </w:tblGrid>
      <w:tr>
        <w:trPr/>
        <w:tc>
          <w:tcPr>
            <w:tcW w:w="30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Bâtiments / Équipements fixes</w:t>
            </w:r>
          </w:p>
        </w:tc>
        <w:tc>
          <w:tcPr>
            <w:tcW w:w="15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Dimensions</w:t>
            </w:r>
          </w:p>
        </w:tc>
        <w:tc>
          <w:tcPr>
            <w:tcW w:w="20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Capacité</w:t>
            </w:r>
          </w:p>
        </w:tc>
        <w:tc>
          <w:tcPr>
            <w:tcW w:w="2526"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Valeur marchande (FCFA)</w:t>
            </w:r>
          </w:p>
        </w:tc>
      </w:tr>
      <w:tr>
        <w:tblPrEx/>
        <w:trPr/>
        <w:tc>
          <w:tcPr>
            <w:tcW w:w="30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Bâtiment d’élevage de poulets de chair — 2 niveaux</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300 m²</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6 000 poulets de chair</w:t>
            </w:r>
          </w:p>
        </w:tc>
        <w:tc>
          <w:tcPr>
            <w:tcW w:w="25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15 000 000</w:t>
            </w:r>
          </w:p>
        </w:tc>
      </w:tr>
      <w:tr>
        <w:tblPrEx/>
        <w:trPr/>
        <w:tc>
          <w:tcPr>
            <w:tcW w:w="30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Bâtiment de production agroalimentaire</w:t>
            </w:r>
          </w:p>
        </w:tc>
        <w:tc>
          <w:tcPr>
            <w:tcW w:w="15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50 000 m²</w:t>
            </w:r>
          </w:p>
        </w:tc>
        <w:tc>
          <w:tcPr>
            <w:tcW w:w="20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Maïs, banane plantain, herbes aromatiques, piment</w:t>
            </w:r>
          </w:p>
        </w:tc>
        <w:tc>
          <w:tcPr>
            <w:tcW w:w="25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20 000 000</w:t>
            </w:r>
          </w:p>
        </w:tc>
      </w:tr>
      <w:tr>
        <w:tblPrEx/>
        <w:trPr/>
        <w:tc>
          <w:tcPr>
            <w:tcW w:w="30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Local / Siège administratif</w:t>
            </w:r>
          </w:p>
        </w:tc>
        <w:tc>
          <w:tcPr>
            <w:tcW w:w="1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150 m²</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20 personnes</w:t>
            </w:r>
          </w:p>
        </w:tc>
        <w:tc>
          <w:tcPr>
            <w:tcW w:w="25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3 600 000/an</w:t>
            </w:r>
          </w:p>
        </w:tc>
      </w:tr>
      <w:tr>
        <w:tblPrEx/>
        <w:trPr/>
        <w:tc>
          <w:tcPr>
            <w:tcW w:w="30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left"/>
              <w:rPr/>
            </w:pPr>
            <w:r>
              <w:rPr>
                <w:rFonts w:ascii="Arial" w:cs="Arial" w:eastAsia="Arial" w:hAnsi="Arial"/>
                <w:b/>
                <w:bCs/>
                <w:color w:val="1a3a5c"/>
                <w:sz w:val="20"/>
                <w:szCs w:val="20"/>
              </w:rPr>
              <w:t>TOTAL TERRAINS &amp; BÂTIMENTS</w:t>
            </w:r>
          </w:p>
        </w:tc>
        <w:tc>
          <w:tcPr>
            <w:tcW w:w="15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p>
        </w:tc>
        <w:tc>
          <w:tcPr>
            <w:tcW w:w="20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p>
        </w:tc>
        <w:tc>
          <w:tcPr>
            <w:tcW w:w="2526"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r>
              <w:rPr>
                <w:rFonts w:ascii="Arial" w:cs="Arial" w:eastAsia="Arial" w:hAnsi="Arial"/>
                <w:b/>
                <w:bCs/>
                <w:color w:val="1a3a5c"/>
                <w:sz w:val="20"/>
                <w:szCs w:val="20"/>
              </w:rPr>
              <w:t>[object Object]</w:t>
            </w:r>
          </w:p>
        </w:tc>
      </w:tr>
    </w:tbl>
    <w:p>
      <w:pPr>
        <w:pStyle w:val="style0"/>
        <w:spacing w:before="0" w:after="140"/>
        <w:rPr/>
      </w:pPr>
    </w:p>
    <w:p>
      <w:pPr>
        <w:pStyle w:val="style0"/>
        <w:spacing w:before="240" w:after="80"/>
        <w:rPr/>
      </w:pPr>
      <w:r>
        <w:rPr>
          <w:rFonts w:ascii="Arial" w:cs="Arial" w:eastAsia="Arial" w:hAnsi="Arial"/>
          <w:b/>
          <w:bCs/>
          <w:color w:val="c8960c"/>
          <w:sz w:val="23"/>
          <w:szCs w:val="23"/>
        </w:rPr>
        <w:t xml:space="preserve">▸  </w:t>
      </w:r>
      <w:r>
        <w:rPr>
          <w:rFonts w:ascii="Arial" w:cs="Arial" w:eastAsia="Arial" w:hAnsi="Arial"/>
          <w:b/>
          <w:bCs/>
          <w:color w:val="1a3a5c"/>
          <w:sz w:val="23"/>
          <w:szCs w:val="23"/>
        </w:rPr>
        <w:t>VI.2. Inventaire des Machines et Équipements Mobiles</w:t>
      </w:r>
    </w:p>
    <w:p>
      <w:pPr>
        <w:pStyle w:val="style0"/>
        <w:spacing w:before="0" w:after="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800"/>
        <w:gridCol w:w="3300"/>
        <w:gridCol w:w="2926"/>
      </w:tblGrid>
      <w:tr>
        <w:trPr/>
        <w:tc>
          <w:tcPr>
            <w:tcW w:w="28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Catégorie</w:t>
            </w:r>
          </w:p>
        </w:tc>
        <w:tc>
          <w:tcPr>
            <w:tcW w:w="3300"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Détail</w:t>
            </w:r>
          </w:p>
        </w:tc>
        <w:tc>
          <w:tcPr>
            <w:tcW w:w="2926" w:type="dxa"/>
            <w:tcBorders>
              <w:top w:val="single" w:sz="3" w:space="0" w:color="1a3a5c"/>
              <w:left w:val="single" w:sz="3" w:space="0" w:color="1a3a5c"/>
              <w:bottom w:val="single" w:sz="3" w:space="0" w:color="1a3a5c"/>
              <w:right w:val="single" w:sz="3"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Valeur (FCFA)</w:t>
            </w:r>
          </w:p>
        </w:tc>
      </w:tr>
      <w:tr>
        <w:tblPrEx/>
        <w:trPr/>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Équipements de bureaux</w:t>
            </w:r>
          </w:p>
        </w:tc>
        <w:tc>
          <w:tcPr>
            <w:tcW w:w="33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Ordinateurs, chaises, tables, documentation</w:t>
            </w:r>
          </w:p>
        </w:tc>
        <w:tc>
          <w:tcPr>
            <w:tcW w:w="2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1 500 000</w:t>
            </w:r>
          </w:p>
        </w:tc>
      </w:tr>
      <w:tr>
        <w:tblPrEx/>
        <w:trPr/>
        <w:tc>
          <w:tcPr>
            <w:tcW w:w="28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Marketing et communication</w:t>
            </w:r>
          </w:p>
        </w:tc>
        <w:tc>
          <w:tcPr>
            <w:tcW w:w="33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left"/>
              <w:rPr/>
            </w:pPr>
            <w:r>
              <w:rPr>
                <w:rFonts w:ascii="Arial" w:cs="Arial" w:eastAsia="Arial" w:hAnsi="Arial"/>
                <w:b w:val="false"/>
                <w:bCs w:val="false"/>
                <w:color w:val="2c2c2c"/>
                <w:sz w:val="20"/>
                <w:szCs w:val="20"/>
              </w:rPr>
              <w:t>Publicité sur réseaux sociaux, bandières, communication</w:t>
            </w:r>
          </w:p>
        </w:tc>
        <w:tc>
          <w:tcPr>
            <w:tcW w:w="2926"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b w:val="false"/>
                <w:bCs w:val="false"/>
                <w:color w:val="2c2c2c"/>
                <w:sz w:val="20"/>
                <w:szCs w:val="20"/>
              </w:rPr>
              <w:t>5 000 000</w:t>
            </w:r>
          </w:p>
        </w:tc>
      </w:tr>
      <w:tr>
        <w:tblPrEx/>
        <w:trPr/>
        <w:tc>
          <w:tcPr>
            <w:tcW w:w="28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left"/>
              <w:rPr/>
            </w:pPr>
            <w:r>
              <w:rPr>
                <w:rFonts w:ascii="Arial" w:cs="Arial" w:eastAsia="Arial" w:hAnsi="Arial"/>
                <w:b/>
                <w:bCs/>
                <w:color w:val="1a3a5c"/>
                <w:sz w:val="20"/>
                <w:szCs w:val="20"/>
              </w:rPr>
              <w:t>TOTAL ÉQUIPEMENTS MOBILES</w:t>
            </w:r>
          </w:p>
        </w:tc>
        <w:tc>
          <w:tcPr>
            <w:tcW w:w="3300"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p>
        </w:tc>
        <w:tc>
          <w:tcPr>
            <w:tcW w:w="2926" w:type="dxa"/>
            <w:tcBorders>
              <w:top w:val="double" w:sz="4" w:space="0" w:color="1a3a5c"/>
              <w:left w:val="single" w:sz="3" w:space="0" w:color="1a3a5c"/>
              <w:bottom w:val="double" w:sz="4" w:space="0" w:color="1a3a5c"/>
              <w:right w:val="single" w:sz="3" w:space="0" w:color="1a3a5c"/>
            </w:tcBorders>
            <w:shd w:val="clear" w:color="auto" w:fill="d6e4f0"/>
            <w:tcMar>
              <w:top w:w="100" w:type="dxa"/>
              <w:left w:w="150" w:type="dxa"/>
              <w:bottom w:w="100" w:type="dxa"/>
              <w:right w:w="150" w:type="dxa"/>
            </w:tcMar>
          </w:tcPr>
          <w:p>
            <w:pPr>
              <w:pStyle w:val="style0"/>
              <w:jc w:val="right"/>
              <w:rPr/>
            </w:pPr>
            <w:r>
              <w:rPr>
                <w:rFonts w:ascii="Arial" w:cs="Arial" w:eastAsia="Arial" w:hAnsi="Arial"/>
                <w:b/>
                <w:bCs/>
                <w:color w:val="1a3a5c"/>
                <w:sz w:val="20"/>
                <w:szCs w:val="20"/>
              </w:rPr>
              <w:t>[object Object]</w:t>
            </w:r>
          </w:p>
        </w:tc>
      </w:tr>
    </w:tbl>
    <w:p>
      <w:pPr>
        <w:pStyle w:val="style0"/>
        <w:spacing w:before="0" w:after="60"/>
        <w:rPr/>
      </w:pPr>
    </w:p>
    <w:p>
      <w:pPr>
        <w:pStyle w:val="style0"/>
        <w:spacing w:before="60" w:after="60"/>
        <w:rPr/>
      </w:pPr>
      <w:r>
        <w:rPr>
          <w:rFonts w:ascii="Arial" w:cs="Arial" w:eastAsia="Arial" w:hAnsi="Arial"/>
          <w:i/>
          <w:iCs/>
          <w:color w:val="666666"/>
          <w:sz w:val="19"/>
          <w:szCs w:val="19"/>
        </w:rPr>
        <w:t>NB : Le total réel des équipements mobiles est de 6 500 000 FCFA conformément au détail des postes.</w:t>
      </w:r>
    </w:p>
    <w:p>
      <w:pPr>
        <w:pStyle w:val="style0"/>
        <w:pBdr>
          <w:bottom w:val="single" w:sz="3" w:space="1" w:color="c8960c"/>
        </w:pBdr>
        <w:spacing w:before="180" w:after="1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9026"/>
      </w:tblGrid>
      <w:tr>
        <w:trPr/>
        <w:tc>
          <w:tcPr>
            <w:tcW w:w="9026" w:type="dxa"/>
            <w:tcBorders>
              <w:top w:val="none" w:sz="4" w:space="0" w:color="auto"/>
              <w:left w:val="none" w:sz="4" w:space="0" w:color="auto"/>
              <w:bottom w:val="none" w:sz="4" w:space="0" w:color="auto"/>
              <w:right w:val="none" w:sz="4" w:space="0" w:color="auto"/>
            </w:tcBorders>
            <w:shd w:val="clear" w:color="auto" w:fill="1a3a5c"/>
            <w:tcMar>
              <w:top w:w="180" w:type="dxa"/>
              <w:left w:w="300" w:type="dxa"/>
              <w:bottom w:w="180" w:type="dxa"/>
              <w:right w:w="300" w:type="dxa"/>
            </w:tcMar>
          </w:tcPr>
          <w:p>
            <w:pPr>
              <w:pStyle w:val="style0"/>
              <w:jc w:val="center"/>
              <w:rPr/>
            </w:pPr>
            <w:r>
              <w:rPr>
                <w:rFonts w:ascii="Arial" w:cs="Arial" w:eastAsia="Arial" w:hAnsi="Arial"/>
                <w:b/>
                <w:bCs/>
                <w:color w:val="ffffff"/>
                <w:sz w:val="26"/>
                <w:szCs w:val="26"/>
              </w:rPr>
              <w:t>TABLEAU RÉCAPITULATIF GÉNÉRAL DU PROJET</w:t>
            </w:r>
          </w:p>
        </w:tc>
      </w:tr>
    </w:tbl>
    <w:p>
      <w:pPr>
        <w:pStyle w:val="style0"/>
        <w:spacing w:before="0" w:after="14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600"/>
        <w:gridCol w:w="3900"/>
        <w:gridCol w:w="2263"/>
        <w:gridCol w:w="2263"/>
      </w:tblGrid>
      <w:tr>
        <w:trPr/>
        <w:tc>
          <w:tcPr>
            <w:tcW w:w="600" w:type="dxa"/>
            <w:tcBorders>
              <w:top w:val="single" w:sz="4" w:space="0" w:color="1a3a5c"/>
              <w:left w:val="single" w:sz="4" w:space="0" w:color="1a3a5c"/>
              <w:bottom w:val="single" w:sz="4" w:space="0" w:color="1a3a5c"/>
              <w:right w:val="single" w:sz="1" w:space="0" w:color="aaaaaa"/>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N°</w:t>
            </w:r>
          </w:p>
        </w:tc>
        <w:tc>
          <w:tcPr>
            <w:tcW w:w="3900" w:type="dxa"/>
            <w:tcBorders>
              <w:top w:val="single" w:sz="4" w:space="0" w:color="1a3a5c"/>
              <w:left w:val="single" w:sz="1" w:space="0" w:color="aaaaaa"/>
              <w:bottom w:val="single" w:sz="4" w:space="0" w:color="1a3a5c"/>
              <w:right w:val="single" w:sz="1" w:space="0" w:color="aaaaaa"/>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Composante / Sous-Projet</w:t>
            </w:r>
          </w:p>
        </w:tc>
        <w:tc>
          <w:tcPr>
            <w:tcW w:w="2263" w:type="dxa"/>
            <w:tcBorders>
              <w:top w:val="single" w:sz="4" w:space="0" w:color="1a3a5c"/>
              <w:left w:val="single" w:sz="1" w:space="0" w:color="aaaaaa"/>
              <w:bottom w:val="single" w:sz="4" w:space="0" w:color="1a3a5c"/>
              <w:right w:val="single" w:sz="1" w:space="0" w:color="aaaaaa"/>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Montant (FCFA)</w:t>
            </w:r>
          </w:p>
        </w:tc>
        <w:tc>
          <w:tcPr>
            <w:tcW w:w="2263" w:type="dxa"/>
            <w:tcBorders>
              <w:top w:val="single" w:sz="4" w:space="0" w:color="1a3a5c"/>
              <w:left w:val="single" w:sz="1" w:space="0" w:color="aaaaaa"/>
              <w:bottom w:val="single" w:sz="4" w:space="0" w:color="1a3a5c"/>
              <w:right w:val="single" w:sz="4" w:space="0" w:color="1a3a5c"/>
            </w:tcBorders>
            <w:shd w:val="clear" w:color="auto" w:fill="1a3a5c"/>
            <w:tcMar>
              <w:top w:w="100" w:type="dxa"/>
              <w:left w:w="150" w:type="dxa"/>
              <w:bottom w:w="100" w:type="dxa"/>
              <w:right w:w="150" w:type="dxa"/>
            </w:tcMar>
          </w:tcPr>
          <w:p>
            <w:pPr>
              <w:pStyle w:val="style0"/>
              <w:jc w:val="center"/>
              <w:rPr/>
            </w:pPr>
            <w:r>
              <w:rPr>
                <w:rFonts w:ascii="Arial" w:cs="Arial" w:eastAsia="Arial" w:hAnsi="Arial"/>
                <w:b/>
                <w:bCs/>
                <w:color w:val="ffffff"/>
                <w:sz w:val="20"/>
                <w:szCs w:val="20"/>
              </w:rPr>
              <w:t>% du Budget</w:t>
            </w:r>
          </w:p>
        </w:tc>
      </w:tr>
      <w:tr>
        <w:tblPrEx/>
        <w:trPr/>
        <w:tc>
          <w:tcPr>
            <w:tcW w:w="600" w:type="dxa"/>
            <w:tcBorders>
              <w:top w:val="single" w:sz="1" w:space="0" w:color="aaaaaa"/>
              <w:left w:val="single" w:sz="4" w:space="0" w:color="1a3a5c"/>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center"/>
              <w:rPr/>
            </w:pPr>
            <w:r>
              <w:rPr>
                <w:rFonts w:ascii="Arial" w:cs="Arial" w:eastAsia="Arial" w:hAnsi="Arial"/>
                <w:b/>
                <w:bCs/>
                <w:color w:val="2c2c2c"/>
                <w:sz w:val="20"/>
                <w:szCs w:val="20"/>
              </w:rPr>
              <w:t>1</w:t>
            </w:r>
          </w:p>
        </w:tc>
        <w:tc>
          <w:tcPr>
            <w:tcW w:w="39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rPr/>
            </w:pPr>
            <w:r>
              <w:rPr>
                <w:rFonts w:ascii="Arial" w:cs="Arial" w:eastAsia="Arial" w:hAnsi="Arial"/>
                <w:color w:val="2c2c2c"/>
                <w:sz w:val="20"/>
                <w:szCs w:val="20"/>
              </w:rPr>
              <w:t>Projet Agricole (production, équipements, main-d’œuvre, mécanisation)</w:t>
            </w:r>
          </w:p>
        </w:tc>
        <w:tc>
          <w:tcPr>
            <w:tcW w:w="2263"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color w:val="2c2c2c"/>
                <w:sz w:val="20"/>
                <w:szCs w:val="20"/>
              </w:rPr>
              <w:t>30 000 000</w:t>
            </w:r>
          </w:p>
        </w:tc>
        <w:tc>
          <w:tcPr>
            <w:tcW w:w="2263" w:type="dxa"/>
            <w:tcBorders>
              <w:top w:val="single" w:sz="1" w:space="0" w:color="aaaaaa"/>
              <w:left w:val="single" w:sz="1" w:space="0" w:color="aaaaaa"/>
              <w:bottom w:val="single" w:sz="1" w:space="0" w:color="aaaaaa"/>
              <w:right w:val="single" w:sz="4" w:space="0" w:color="1a3a5c"/>
            </w:tcBorders>
            <w:shd w:val="clear" w:color="auto" w:fill="ffffff"/>
            <w:tcMar>
              <w:top w:w="100" w:type="dxa"/>
              <w:left w:w="150" w:type="dxa"/>
              <w:bottom w:w="100" w:type="dxa"/>
              <w:right w:w="150" w:type="dxa"/>
            </w:tcMar>
          </w:tcPr>
          <w:p>
            <w:pPr>
              <w:pStyle w:val="style0"/>
              <w:jc w:val="center"/>
              <w:rPr/>
            </w:pPr>
            <w:r>
              <w:rPr>
                <w:rFonts w:ascii="Arial" w:cs="Arial" w:eastAsia="Arial" w:hAnsi="Arial"/>
                <w:color w:val="2c2c2c"/>
                <w:sz w:val="20"/>
                <w:szCs w:val="20"/>
              </w:rPr>
              <w:t>49,2 %</w:t>
            </w:r>
          </w:p>
        </w:tc>
      </w:tr>
      <w:tr>
        <w:tblPrEx/>
        <w:trPr/>
        <w:tc>
          <w:tcPr>
            <w:tcW w:w="600" w:type="dxa"/>
            <w:tcBorders>
              <w:top w:val="single" w:sz="1" w:space="0" w:color="aaaaaa"/>
              <w:left w:val="single" w:sz="4" w:space="0" w:color="1a3a5c"/>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center"/>
              <w:rPr/>
            </w:pPr>
            <w:r>
              <w:rPr>
                <w:rFonts w:ascii="Arial" w:cs="Arial" w:eastAsia="Arial" w:hAnsi="Arial"/>
                <w:b/>
                <w:bCs/>
                <w:color w:val="2c2c2c"/>
                <w:sz w:val="20"/>
                <w:szCs w:val="20"/>
              </w:rPr>
              <w:t>2</w:t>
            </w:r>
          </w:p>
        </w:tc>
        <w:tc>
          <w:tcPr>
            <w:tcW w:w="39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rPr/>
            </w:pPr>
            <w:r>
              <w:rPr>
                <w:rFonts w:ascii="Arial" w:cs="Arial" w:eastAsia="Arial" w:hAnsi="Arial"/>
                <w:color w:val="2c2c2c"/>
                <w:sz w:val="20"/>
                <w:szCs w:val="20"/>
              </w:rPr>
              <w:t>Projet Élevage Poulets de Chair (construction, poussins, alimentation, vétérinaire)</w:t>
            </w:r>
          </w:p>
        </w:tc>
        <w:tc>
          <w:tcPr>
            <w:tcW w:w="2263"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color w:val="2c2c2c"/>
                <w:sz w:val="20"/>
                <w:szCs w:val="20"/>
              </w:rPr>
              <w:t>25 000 000</w:t>
            </w:r>
          </w:p>
        </w:tc>
        <w:tc>
          <w:tcPr>
            <w:tcW w:w="2263" w:type="dxa"/>
            <w:tcBorders>
              <w:top w:val="single" w:sz="1" w:space="0" w:color="aaaaaa"/>
              <w:left w:val="single" w:sz="1" w:space="0" w:color="aaaaaa"/>
              <w:bottom w:val="single" w:sz="1" w:space="0" w:color="aaaaaa"/>
              <w:right w:val="single" w:sz="4" w:space="0" w:color="1a3a5c"/>
            </w:tcBorders>
            <w:shd w:val="clear" w:color="auto" w:fill="ebf4fa"/>
            <w:tcMar>
              <w:top w:w="100" w:type="dxa"/>
              <w:left w:w="150" w:type="dxa"/>
              <w:bottom w:w="100" w:type="dxa"/>
              <w:right w:w="150" w:type="dxa"/>
            </w:tcMar>
          </w:tcPr>
          <w:p>
            <w:pPr>
              <w:pStyle w:val="style0"/>
              <w:jc w:val="center"/>
              <w:rPr/>
            </w:pPr>
            <w:r>
              <w:rPr>
                <w:rFonts w:ascii="Arial" w:cs="Arial" w:eastAsia="Arial" w:hAnsi="Arial"/>
                <w:color w:val="2c2c2c"/>
                <w:sz w:val="20"/>
                <w:szCs w:val="20"/>
              </w:rPr>
              <w:t>41,0 %</w:t>
            </w:r>
          </w:p>
        </w:tc>
      </w:tr>
      <w:tr>
        <w:tblPrEx/>
        <w:trPr/>
        <w:tc>
          <w:tcPr>
            <w:tcW w:w="600" w:type="dxa"/>
            <w:tcBorders>
              <w:top w:val="single" w:sz="1" w:space="0" w:color="aaaaaa"/>
              <w:left w:val="single" w:sz="4" w:space="0" w:color="1a3a5c"/>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center"/>
              <w:rPr/>
            </w:pPr>
            <w:r>
              <w:rPr>
                <w:rFonts w:ascii="Arial" w:cs="Arial" w:eastAsia="Arial" w:hAnsi="Arial"/>
                <w:b/>
                <w:bCs/>
                <w:color w:val="2c2c2c"/>
                <w:sz w:val="20"/>
                <w:szCs w:val="20"/>
              </w:rPr>
              <w:t>3</w:t>
            </w:r>
          </w:p>
        </w:tc>
        <w:tc>
          <w:tcPr>
            <w:tcW w:w="39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rPr/>
            </w:pPr>
            <w:r>
              <w:rPr>
                <w:rFonts w:ascii="Arial" w:cs="Arial" w:eastAsia="Arial" w:hAnsi="Arial"/>
                <w:color w:val="2c2c2c"/>
                <w:sz w:val="20"/>
                <w:szCs w:val="20"/>
              </w:rPr>
              <w:t>Projet Informatique (logiciels, matériel, ressources humaines, imprévus inclus)</w:t>
            </w:r>
          </w:p>
        </w:tc>
        <w:tc>
          <w:tcPr>
            <w:tcW w:w="2263"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50" w:type="dxa"/>
              <w:bottom w:w="100" w:type="dxa"/>
              <w:right w:w="150" w:type="dxa"/>
            </w:tcMar>
          </w:tcPr>
          <w:p>
            <w:pPr>
              <w:pStyle w:val="style0"/>
              <w:jc w:val="right"/>
              <w:rPr/>
            </w:pPr>
            <w:r>
              <w:rPr>
                <w:rFonts w:ascii="Arial" w:cs="Arial" w:eastAsia="Arial" w:hAnsi="Arial"/>
                <w:color w:val="2c2c2c"/>
                <w:sz w:val="20"/>
                <w:szCs w:val="20"/>
              </w:rPr>
              <w:t>6 931 760</w:t>
            </w:r>
          </w:p>
        </w:tc>
        <w:tc>
          <w:tcPr>
            <w:tcW w:w="2263" w:type="dxa"/>
            <w:tcBorders>
              <w:top w:val="single" w:sz="1" w:space="0" w:color="aaaaaa"/>
              <w:left w:val="single" w:sz="1" w:space="0" w:color="aaaaaa"/>
              <w:bottom w:val="single" w:sz="1" w:space="0" w:color="aaaaaa"/>
              <w:right w:val="single" w:sz="4" w:space="0" w:color="1a3a5c"/>
            </w:tcBorders>
            <w:shd w:val="clear" w:color="auto" w:fill="ffffff"/>
            <w:tcMar>
              <w:top w:w="100" w:type="dxa"/>
              <w:left w:w="150" w:type="dxa"/>
              <w:bottom w:w="100" w:type="dxa"/>
              <w:right w:w="150" w:type="dxa"/>
            </w:tcMar>
          </w:tcPr>
          <w:p>
            <w:pPr>
              <w:pStyle w:val="style0"/>
              <w:jc w:val="center"/>
              <w:rPr/>
            </w:pPr>
            <w:r>
              <w:rPr>
                <w:rFonts w:ascii="Arial" w:cs="Arial" w:eastAsia="Arial" w:hAnsi="Arial"/>
                <w:color w:val="2c2c2c"/>
                <w:sz w:val="20"/>
                <w:szCs w:val="20"/>
              </w:rPr>
              <w:t>11,4 %</w:t>
            </w:r>
          </w:p>
        </w:tc>
      </w:tr>
      <w:tr>
        <w:tblPrEx/>
        <w:trPr/>
        <w:tc>
          <w:tcPr>
            <w:tcW w:w="600" w:type="dxa"/>
            <w:tcBorders>
              <w:top w:val="single" w:sz="1" w:space="0" w:color="aaaaaa"/>
              <w:left w:val="single" w:sz="4" w:space="0" w:color="1a3a5c"/>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center"/>
              <w:rPr/>
            </w:pPr>
            <w:r>
              <w:rPr>
                <w:rFonts w:ascii="Arial" w:cs="Arial" w:eastAsia="Arial" w:hAnsi="Arial"/>
                <w:b/>
                <w:bCs/>
                <w:color w:val="2c2c2c"/>
                <w:sz w:val="20"/>
                <w:szCs w:val="20"/>
              </w:rPr>
              <w:t>4</w:t>
            </w:r>
          </w:p>
        </w:tc>
        <w:tc>
          <w:tcPr>
            <w:tcW w:w="3900"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rPr/>
            </w:pPr>
            <w:r>
              <w:rPr>
                <w:rFonts w:ascii="Arial" w:cs="Arial" w:eastAsia="Arial" w:hAnsi="Arial"/>
                <w:color w:val="2c2c2c"/>
                <w:sz w:val="20"/>
                <w:szCs w:val="20"/>
              </w:rPr>
              <w:t>Locaux, équipements de bureau et salaires</w:t>
            </w:r>
          </w:p>
        </w:tc>
        <w:tc>
          <w:tcPr>
            <w:tcW w:w="2263" w:type="dxa"/>
            <w:tcBorders>
              <w:top w:val="single" w:sz="1" w:space="0" w:color="aaaaaa"/>
              <w:left w:val="single" w:sz="1" w:space="0" w:color="aaaaaa"/>
              <w:bottom w:val="single" w:sz="1" w:space="0" w:color="aaaaaa"/>
              <w:right w:val="single" w:sz="1" w:space="0" w:color="aaaaaa"/>
            </w:tcBorders>
            <w:shd w:val="clear" w:color="auto" w:fill="ebf4fa"/>
            <w:tcMar>
              <w:top w:w="100" w:type="dxa"/>
              <w:left w:w="150" w:type="dxa"/>
              <w:bottom w:w="100" w:type="dxa"/>
              <w:right w:w="150" w:type="dxa"/>
            </w:tcMar>
          </w:tcPr>
          <w:p>
            <w:pPr>
              <w:pStyle w:val="style0"/>
              <w:jc w:val="right"/>
              <w:rPr/>
            </w:pPr>
            <w:r>
              <w:rPr>
                <w:rFonts w:ascii="Arial" w:cs="Arial" w:eastAsia="Arial" w:hAnsi="Arial"/>
                <w:color w:val="2c2c2c"/>
                <w:sz w:val="20"/>
                <w:szCs w:val="20"/>
              </w:rPr>
              <w:t>5 000 000</w:t>
            </w:r>
          </w:p>
        </w:tc>
        <w:tc>
          <w:tcPr>
            <w:tcW w:w="2263" w:type="dxa"/>
            <w:tcBorders>
              <w:top w:val="single" w:sz="1" w:space="0" w:color="aaaaaa"/>
              <w:left w:val="single" w:sz="1" w:space="0" w:color="aaaaaa"/>
              <w:bottom w:val="single" w:sz="1" w:space="0" w:color="aaaaaa"/>
              <w:right w:val="single" w:sz="4" w:space="0" w:color="1a3a5c"/>
            </w:tcBorders>
            <w:shd w:val="clear" w:color="auto" w:fill="ebf4fa"/>
            <w:tcMar>
              <w:top w:w="100" w:type="dxa"/>
              <w:left w:w="150" w:type="dxa"/>
              <w:bottom w:w="100" w:type="dxa"/>
              <w:right w:w="150" w:type="dxa"/>
            </w:tcMar>
          </w:tcPr>
          <w:p>
            <w:pPr>
              <w:pStyle w:val="style0"/>
              <w:jc w:val="center"/>
              <w:rPr/>
            </w:pPr>
            <w:r>
              <w:rPr>
                <w:rFonts w:ascii="Arial" w:cs="Arial" w:eastAsia="Arial" w:hAnsi="Arial"/>
                <w:color w:val="2c2c2c"/>
                <w:sz w:val="20"/>
                <w:szCs w:val="20"/>
              </w:rPr>
              <w:t>8,2 %</w:t>
            </w:r>
          </w:p>
        </w:tc>
      </w:tr>
      <w:tr>
        <w:tblPrEx/>
        <w:trPr/>
        <w:tc>
          <w:tcPr>
            <w:tcW w:w="600" w:type="dxa"/>
            <w:tcBorders>
              <w:top w:val="double" w:sz="4" w:space="0" w:color="1a3a5c"/>
              <w:left w:val="single" w:sz="4" w:space="0" w:color="1a3a5c"/>
              <w:bottom w:val="single" w:sz="1" w:space="0" w:color="aaaaaa"/>
              <w:right w:val="single" w:sz="1" w:space="0" w:color="aaaaaa"/>
            </w:tcBorders>
            <w:shd w:val="clear" w:color="auto" w:fill="fdf6e3"/>
            <w:tcMar>
              <w:top w:w="100" w:type="dxa"/>
              <w:left w:w="150" w:type="dxa"/>
              <w:bottom w:w="100" w:type="dxa"/>
              <w:right w:w="150" w:type="dxa"/>
            </w:tcMar>
          </w:tcPr>
          <w:p>
            <w:pPr>
              <w:pStyle w:val="style0"/>
              <w:rPr/>
            </w:pPr>
          </w:p>
        </w:tc>
        <w:tc>
          <w:tcPr>
            <w:tcW w:w="3900" w:type="dxa"/>
            <w:tcBorders>
              <w:top w:val="double" w:sz="4" w:space="0" w:color="1a3a5c"/>
              <w:left w:val="single" w:sz="1" w:space="0" w:color="aaaaaa"/>
              <w:bottom w:val="single" w:sz="1" w:space="0" w:color="aaaaaa"/>
              <w:right w:val="single" w:sz="1" w:space="0" w:color="aaaaaa"/>
            </w:tcBorders>
            <w:shd w:val="clear" w:color="auto" w:fill="fdf6e3"/>
            <w:tcMar>
              <w:top w:w="100" w:type="dxa"/>
              <w:left w:w="150" w:type="dxa"/>
              <w:bottom w:w="100" w:type="dxa"/>
              <w:right w:w="150" w:type="dxa"/>
            </w:tcMar>
          </w:tcPr>
          <w:p>
            <w:pPr>
              <w:pStyle w:val="style0"/>
              <w:rPr/>
            </w:pPr>
            <w:r>
              <w:rPr>
                <w:rFonts w:ascii="Arial" w:cs="Arial" w:eastAsia="Arial" w:hAnsi="Arial"/>
                <w:b/>
                <w:bCs/>
                <w:color w:val="1a3a5c"/>
                <w:sz w:val="22"/>
                <w:szCs w:val="22"/>
              </w:rPr>
              <w:t>TOTAL GÉNÉRAL DU PROJET</w:t>
            </w:r>
          </w:p>
        </w:tc>
        <w:tc>
          <w:tcPr>
            <w:tcW w:w="2263" w:type="dxa"/>
            <w:tcBorders>
              <w:top w:val="double" w:sz="4" w:space="0" w:color="1a3a5c"/>
              <w:left w:val="single" w:sz="1" w:space="0" w:color="aaaaaa"/>
              <w:bottom w:val="single" w:sz="1" w:space="0" w:color="aaaaaa"/>
              <w:right w:val="single" w:sz="1" w:space="0" w:color="aaaaaa"/>
            </w:tcBorders>
            <w:shd w:val="clear" w:color="auto" w:fill="fdf6e3"/>
            <w:tcMar>
              <w:top w:w="100" w:type="dxa"/>
              <w:left w:w="150" w:type="dxa"/>
              <w:bottom w:w="100" w:type="dxa"/>
              <w:right w:w="150" w:type="dxa"/>
            </w:tcMar>
          </w:tcPr>
          <w:p>
            <w:pPr>
              <w:pStyle w:val="style0"/>
              <w:jc w:val="right"/>
              <w:rPr/>
            </w:pPr>
            <w:r>
              <w:rPr>
                <w:rFonts w:ascii="Arial" w:cs="Arial" w:eastAsia="Arial" w:hAnsi="Arial"/>
                <w:b/>
                <w:bCs/>
                <w:color w:val="c0392b"/>
                <w:sz w:val="22"/>
                <w:szCs w:val="22"/>
              </w:rPr>
              <w:t>61 931 760</w:t>
            </w:r>
          </w:p>
        </w:tc>
        <w:tc>
          <w:tcPr>
            <w:tcW w:w="2263" w:type="dxa"/>
            <w:tcBorders>
              <w:top w:val="double" w:sz="4" w:space="0" w:color="1a3a5c"/>
              <w:left w:val="single" w:sz="1" w:space="0" w:color="aaaaaa"/>
              <w:bottom w:val="single" w:sz="1" w:space="0" w:color="aaaaaa"/>
              <w:right w:val="single" w:sz="4" w:space="0" w:color="1a3a5c"/>
            </w:tcBorders>
            <w:shd w:val="clear" w:color="auto" w:fill="fdf6e3"/>
            <w:tcMar>
              <w:top w:w="100" w:type="dxa"/>
              <w:left w:w="150" w:type="dxa"/>
              <w:bottom w:w="100" w:type="dxa"/>
              <w:right w:w="150" w:type="dxa"/>
            </w:tcMar>
          </w:tcPr>
          <w:p>
            <w:pPr>
              <w:pStyle w:val="style0"/>
              <w:jc w:val="center"/>
              <w:rPr/>
            </w:pPr>
            <w:r>
              <w:rPr>
                <w:rFonts w:ascii="Arial" w:cs="Arial" w:eastAsia="Arial" w:hAnsi="Arial"/>
                <w:b/>
                <w:bCs/>
                <w:color w:val="1a3a5c"/>
                <w:sz w:val="22"/>
                <w:szCs w:val="22"/>
              </w:rPr>
              <w:t>100 %</w:t>
            </w:r>
          </w:p>
        </w:tc>
      </w:tr>
      <w:tr>
        <w:tblPrEx/>
        <w:trPr/>
        <w:tc>
          <w:tcPr>
            <w:tcW w:w="9026" w:type="dxa"/>
            <w:gridSpan w:val="4"/>
            <w:tcBorders>
              <w:top w:val="single" w:sz="1" w:space="0" w:color="aaaaaa"/>
              <w:left w:val="single" w:sz="4" w:space="0" w:color="1a3a5c"/>
              <w:bottom w:val="double" w:sz="4" w:space="0" w:color="1a3a5c"/>
              <w:right w:val="single" w:sz="4" w:space="0" w:color="1a3a5c"/>
            </w:tcBorders>
            <w:shd w:val="clear" w:color="auto" w:fill="d6e4f0"/>
            <w:tcMar>
              <w:top w:w="100" w:type="dxa"/>
              <w:left w:w="150" w:type="dxa"/>
              <w:bottom w:w="100" w:type="dxa"/>
              <w:right w:w="150" w:type="dxa"/>
            </w:tcMar>
          </w:tcPr>
          <w:p>
            <w:pPr>
              <w:pStyle w:val="style0"/>
              <w:jc w:val="center"/>
              <w:rPr/>
            </w:pPr>
            <w:r>
              <w:rPr>
                <w:rFonts w:ascii="Arial" w:cs="Arial" w:eastAsia="Arial" w:hAnsi="Arial"/>
                <w:b/>
                <w:bCs/>
                <w:i/>
                <w:iCs/>
                <w:color w:val="1a3a5c"/>
                <w:sz w:val="20"/>
                <w:szCs w:val="20"/>
              </w:rPr>
              <w:t>En lettres : Soixante et un millions neuf cent trente et un mille sept cent soixante francs CFA</w:t>
            </w:r>
          </w:p>
        </w:tc>
      </w:tr>
    </w:tbl>
    <w:p>
      <w:pPr>
        <w:pStyle w:val="style0"/>
        <w:spacing w:before="0" w:after="20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9026"/>
      </w:tblGrid>
      <w:tr>
        <w:trPr/>
        <w:tc>
          <w:tcPr>
            <w:tcW w:w="9026" w:type="dxa"/>
            <w:tcBorders>
              <w:top w:val="none" w:sz="4" w:space="0" w:color="auto"/>
              <w:left w:val="none" w:sz="4" w:space="0" w:color="auto"/>
              <w:bottom w:val="none" w:sz="4" w:space="0" w:color="auto"/>
              <w:right w:val="none" w:sz="4" w:space="0" w:color="auto"/>
            </w:tcBorders>
            <w:shd w:val="clear" w:color="auto" w:fill="1a3a5c"/>
            <w:tcMar>
              <w:top w:w="180" w:type="dxa"/>
              <w:left w:w="300" w:type="dxa"/>
              <w:bottom w:w="180" w:type="dxa"/>
              <w:right w:w="300" w:type="dxa"/>
            </w:tcMar>
          </w:tcPr>
          <w:p>
            <w:pPr>
              <w:pStyle w:val="style0"/>
              <w:jc w:val="center"/>
              <w:rPr/>
            </w:pPr>
            <w:r>
              <w:rPr>
                <w:rFonts w:ascii="Arial" w:cs="Arial" w:eastAsia="Arial" w:hAnsi="Arial"/>
                <w:b/>
                <w:bCs/>
                <w:color w:val="ffffff"/>
                <w:sz w:val="26"/>
                <w:szCs w:val="26"/>
              </w:rPr>
              <w:t>CONCLUSION</w:t>
            </w:r>
          </w:p>
        </w:tc>
      </w:tr>
    </w:tbl>
    <w:p>
      <w:pPr>
        <w:pStyle w:val="style0"/>
        <w:spacing w:before="0" w:after="140"/>
        <w:rPr/>
      </w:pPr>
    </w:p>
    <w:p>
      <w:pPr>
        <w:pStyle w:val="style0"/>
        <w:spacing w:before="0" w:after="90"/>
        <w:ind w:left="0"/>
        <w:rPr/>
      </w:pPr>
      <w:r>
        <w:rPr>
          <w:rFonts w:ascii="Arial" w:cs="Arial" w:eastAsia="Arial" w:hAnsi="Arial"/>
          <w:color w:val="2c2c2c"/>
          <w:sz w:val="21"/>
          <w:szCs w:val="21"/>
        </w:rPr>
        <w:t>Ce projet dépasse le simple cadre d’une initiative économique ; il constitue une réponse concrète, structurée et durable aux défis majeurs auxquels fait face la jeunesse camerounaise. En combinant agriculture, élevage, innovation numérique et accompagnement social, il pose les bases d’un modèle de développement inclusif, capable de générer à la fois de la richesse et des opportunités.</w:t>
      </w:r>
    </w:p>
    <w:p>
      <w:pPr>
        <w:pStyle w:val="style0"/>
        <w:spacing w:before="0" w:after="80"/>
        <w:rPr/>
      </w:pPr>
    </w:p>
    <w:p>
      <w:pPr>
        <w:pStyle w:val="style0"/>
        <w:spacing w:before="0" w:after="90"/>
        <w:ind w:left="0"/>
        <w:rPr/>
      </w:pPr>
      <w:r>
        <w:rPr>
          <w:rFonts w:ascii="Arial" w:cs="Arial" w:eastAsia="Arial" w:hAnsi="Arial"/>
          <w:color w:val="2c2c2c"/>
          <w:sz w:val="21"/>
          <w:szCs w:val="21"/>
        </w:rPr>
        <w:t>Avec un investissement global de 61 931 760 FCFA, ce programme se veut réaliste, progressif et orienté vers des résultats mesurables. Il ambitionne non seulement de créer des emplois, mais aussi de transformer durablement les mentalités en valorisant le travail, l’entrepreneuriat et la responsabilité citoyenne.</w:t>
      </w:r>
    </w:p>
    <w:p>
      <w:pPr>
        <w:pStyle w:val="style0"/>
        <w:spacing w:before="0" w:after="80"/>
        <w:rPr/>
      </w:pPr>
    </w:p>
    <w:p>
      <w:pPr>
        <w:pStyle w:val="style0"/>
        <w:spacing w:before="0" w:after="90"/>
        <w:ind w:left="0"/>
        <w:rPr/>
      </w:pPr>
      <w:r>
        <w:rPr>
          <w:rFonts w:ascii="Arial" w:cs="Arial" w:eastAsia="Arial" w:hAnsi="Arial"/>
          <w:color w:val="2c2c2c"/>
          <w:sz w:val="21"/>
          <w:szCs w:val="21"/>
        </w:rPr>
        <w:t>Porté par une vision claire et un engagement fort, ce projet représente une véritable opportunité de bâtir une jeunesse autonome, productive et actrice du développement national. Soutenir cette initiative, c’est investir dans l’avenir, renforcer la cohésion sociale et participer à l’émergence d’un Cameroun plus dynamique et prospère.</w:t>
      </w:r>
    </w:p>
    <w:p>
      <w:pPr>
        <w:pStyle w:val="style0"/>
        <w:spacing w:before="0" w:after="240"/>
        <w:rPr/>
      </w:pPr>
    </w:p>
    <w:p>
      <w:pPr>
        <w:pStyle w:val="style0"/>
        <w:spacing w:before="0" w:after="40"/>
        <w:jc w:val="right"/>
        <w:rPr/>
      </w:pPr>
      <w:r>
        <w:rPr>
          <w:rFonts w:ascii="Arial" w:cs="Arial" w:eastAsia="Arial" w:hAnsi="Arial"/>
          <w:b/>
          <w:bCs/>
          <w:color w:val="1a3a5c"/>
          <w:sz w:val="22"/>
          <w:szCs w:val="22"/>
        </w:rPr>
        <w:t>L’Honorable KEMMOGNE SACDO MENÈRE BRUNO FRANCK</w:t>
      </w:r>
    </w:p>
    <w:p>
      <w:pPr>
        <w:pStyle w:val="style0"/>
        <w:spacing w:before="0" w:after="40"/>
        <w:jc w:val="right"/>
        <w:rPr/>
      </w:pPr>
      <w:r>
        <w:rPr>
          <w:rFonts w:ascii="Arial" w:cs="Arial" w:eastAsia="Arial" w:hAnsi="Arial"/>
          <w:b/>
          <w:bCs/>
          <w:color w:val="c8960c"/>
          <w:sz w:val="21"/>
          <w:szCs w:val="21"/>
        </w:rPr>
        <w:t>Député Panafricain Junior</w:t>
      </w:r>
    </w:p>
    <w:p>
      <w:pPr>
        <w:pStyle w:val="style0"/>
        <w:spacing w:before="0" w:after="40"/>
        <w:jc w:val="right"/>
        <w:rPr/>
      </w:pPr>
      <w:r>
        <w:rPr>
          <w:rFonts w:ascii="Arial" w:cs="Arial" w:eastAsia="Arial" w:hAnsi="Arial"/>
          <w:color w:val="666666"/>
          <w:sz w:val="20"/>
          <w:szCs w:val="20"/>
        </w:rPr>
        <w:t>Tél : +237 696 78 75 32</w:t>
      </w:r>
    </w:p>
    <w:p>
      <w:pPr>
        <w:pStyle w:val="style0"/>
        <w:spacing w:before="0" w:after="80"/>
        <w:rPr/>
      </w:pPr>
    </w:p>
    <w:p>
      <w:pPr>
        <w:pStyle w:val="style0"/>
        <w:pBdr>
          <w:top w:val="single" w:sz="2" w:space="4" w:color="666666"/>
        </w:pBdr>
        <w:spacing w:before="80" w:after="0"/>
        <w:jc w:val="right"/>
        <w:rPr/>
      </w:pPr>
      <w:r>
        <w:rPr>
          <w:rFonts w:ascii="Arial" w:cs="Arial" w:eastAsia="Arial" w:hAnsi="Arial"/>
          <w:color w:val="666666"/>
          <w:sz w:val="20"/>
          <w:szCs w:val="20"/>
        </w:rPr>
        <w:t>Signature : _______________________________</w:t>
      </w:r>
    </w:p>
    <w:sectPr>
      <w:pgSz w:w="11906" w:h="16838" w:orient="portrait"/>
      <w:pgMar w:top="1000" w:right="1080" w:bottom="1000" w:left="1080" w:header="708" w:footer="708"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FFFFFFF"/>
    <w:lvl w:ilvl="0" w:tentative="1">
      <w:start w:val="1"/>
      <w:numFmt w:val="bullet"/>
      <w:lvlText w:val="●"/>
      <w:lvlJc w:val="left"/>
      <w:pPr>
        <w:ind w:left="720" w:hanging="360"/>
      </w:pPr>
    </w:lvl>
    <w:lvl w:ilvl="1" w:tentative="1">
      <w:start w:val="1"/>
      <w:numFmt w:val="bullet"/>
      <w:lvlText w:val="○"/>
      <w:lvlJc w:val="left"/>
      <w:pPr>
        <w:ind w:left="1440" w:hanging="360"/>
      </w:pPr>
    </w:lvl>
    <w:lvl w:ilvl="2" w:tentative="1">
      <w:start w:val="1"/>
      <w:numFmt w:val="bullet"/>
      <w:lvlText w:val="■"/>
      <w:lvlJc w:val="left"/>
      <w:pPr>
        <w:ind w:left="2160" w:hanging="360"/>
      </w:pPr>
    </w:lvl>
    <w:lvl w:ilvl="3" w:tentative="1">
      <w:start w:val="1"/>
      <w:numFmt w:val="bullet"/>
      <w:lvlText w:val="●"/>
      <w:lvlJc w:val="left"/>
      <w:pPr>
        <w:ind w:left="2880" w:hanging="360"/>
      </w:pPr>
    </w:lvl>
    <w:lvl w:ilvl="4" w:tentative="1">
      <w:start w:val="1"/>
      <w:numFmt w:val="bullet"/>
      <w:lvlText w:val="○"/>
      <w:lvlJc w:val="left"/>
      <w:pPr>
        <w:ind w:left="3600" w:hanging="360"/>
      </w:pPr>
    </w:lvl>
    <w:lvl w:ilvl="5" w:tentative="1">
      <w:start w:val="1"/>
      <w:numFmt w:val="bullet"/>
      <w:lvlText w:val="■"/>
      <w:lvlJc w:val="left"/>
      <w:pPr>
        <w:ind w:left="4320" w:hanging="360"/>
      </w:pPr>
    </w:lvl>
    <w:lvl w:ilvl="6" w:tentative="1">
      <w:start w:val="1"/>
      <w:numFmt w:val="bullet"/>
      <w:lvlText w:val="●"/>
      <w:lvlJc w:val="left"/>
      <w:pPr>
        <w:ind w:left="5040" w:hanging="360"/>
      </w:pPr>
    </w:lvl>
    <w:lvl w:ilvl="7" w:tentative="1">
      <w:start w:val="1"/>
      <w:numFmt w:val="bullet"/>
      <w:lvlText w:val="●"/>
      <w:lvlJc w:val="left"/>
      <w:pPr>
        <w:ind w:left="5760" w:hanging="360"/>
      </w:pPr>
    </w:lvl>
    <w:lvl w:ilvl="8" w:tentative="1">
      <w:start w:val="1"/>
      <w:numFmt w:val="bullet"/>
      <w:lvlText w:val="●"/>
      <w:lvlJc w:val="left"/>
      <w:pPr>
        <w:ind w:left="6480" w:hanging="360"/>
      </w:pPr>
    </w:lvl>
  </w:abstractNum>
  <w:abstractNum w:abstractNumId="1">
    <w:nsid w:val="00000001"/>
    <w:multiLevelType w:val="hybridMultilevel"/>
    <w:tmpl w:val="FFFFFFFF"/>
    <w:lvl w:ilvl="0" w:tentative="1">
      <w:start w:val="1"/>
      <w:numFmt w:val="bullet"/>
      <w:lvlText w:val="•"/>
      <w:lvlJc w:val="left"/>
      <w:pPr>
        <w:ind w:left="600" w:hanging="280"/>
      </w:pPr>
      <w:rPr>
        <w:rFonts w:ascii="Arial" w:cs="Arial" w:eastAsia="Arial" w:hAnsi="Arial"/>
        <w:color w:val="1a3a5c"/>
        <w:sz w:val="21"/>
        <w:szCs w:val="21"/>
      </w:r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w="http://schemas.openxmlformats.org/wordprocessingml/2006/main" xmlns:r="http://schemas.openxmlformats.org/officeDocument/2006/relationships" xmlns:m="http://schemas.openxmlformats.org/officeDocument/2006/math">
  <w:displayBackgroundShape/>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compat>
    <w:compatSetting w:name="compatibilityMode" w:uri="http://schemas.microsoft.com/office/word" w:val="15"/>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color w:val="2c2c2c"/>
        <w:sz w:val="21"/>
        <w:szCs w:val="21"/>
      </w:rPr>
    </w:rPrDefault>
    <w:pPrDefault>
      <w:pPr/>
    </w:pPrDefault>
  </w:docDefaults>
  <w:style w:type="paragraph" w:styleId="style62">
    <w:name w:val="Title"/>
    <w:next w:val="style62"/>
    <w:qFormat/>
    <w:pPr/>
    <w:rPr>
      <w:sz w:val="56"/>
      <w:szCs w:val="56"/>
    </w:rPr>
  </w:style>
  <w:style w:type="paragraph" w:customStyle="1" w:styleId="style4097">
    <w:name w:val="Heading 1"/>
    <w:next w:val="style4097"/>
    <w:qFormat/>
    <w:pPr/>
    <w:rPr>
      <w:color w:val="2e74b5"/>
      <w:sz w:val="32"/>
      <w:szCs w:val="32"/>
    </w:rPr>
  </w:style>
  <w:style w:type="paragraph" w:customStyle="1" w:styleId="style4098">
    <w:name w:val="Heading 2"/>
    <w:next w:val="style4098"/>
    <w:qFormat/>
    <w:pPr/>
    <w:rPr>
      <w:color w:val="2e74b5"/>
      <w:sz w:val="26"/>
      <w:szCs w:val="26"/>
    </w:rPr>
  </w:style>
  <w:style w:type="paragraph" w:customStyle="1" w:styleId="style4099">
    <w:name w:val="Heading 3"/>
    <w:next w:val="style4099"/>
    <w:qFormat/>
    <w:pPr/>
    <w:rPr>
      <w:color w:val="1f4d78"/>
      <w:sz w:val="24"/>
      <w:szCs w:val="24"/>
    </w:rPr>
  </w:style>
  <w:style w:type="paragraph" w:customStyle="1" w:styleId="style4100">
    <w:name w:val="Heading 4"/>
    <w:next w:val="style4100"/>
    <w:qFormat/>
    <w:pPr/>
    <w:rPr>
      <w:i/>
      <w:iCs/>
      <w:color w:val="2e74b5"/>
    </w:rPr>
  </w:style>
  <w:style w:type="paragraph" w:customStyle="1" w:styleId="style4101">
    <w:name w:val="Heading 5"/>
    <w:next w:val="style4101"/>
    <w:qFormat/>
    <w:pPr/>
    <w:rPr>
      <w:color w:val="2e74b5"/>
    </w:rPr>
  </w:style>
  <w:style w:type="paragraph" w:customStyle="1" w:styleId="style4102">
    <w:name w:val="Heading 6"/>
    <w:next w:val="style4102"/>
    <w:qFormat/>
    <w:pPr/>
    <w:rPr>
      <w:color w:val="1f4d78"/>
    </w:rPr>
  </w:style>
  <w:style w:type="paragraph" w:customStyle="1" w:styleId="style4103">
    <w:name w:val="Strong_e31daf79-1523-49b4-ab8d-2c0a93fcd41b"/>
    <w:next w:val="style4103"/>
    <w:qFormat/>
    <w:pPr/>
    <w:rPr>
      <w:b/>
      <w:bCs/>
    </w:rPr>
  </w:style>
  <w:style w:type="paragraph" w:styleId="style179">
    <w:name w:val="List Paragraph"/>
    <w:next w:val="style179"/>
    <w:qFormat/>
    <w:pPr/>
  </w:style>
  <w:style w:type="character" w:styleId="style85">
    <w:name w:val="Hyperlink"/>
    <w:next w:val="style85"/>
    <w:uiPriority w:val="99"/>
    <w:rPr>
      <w:color w:val="0563c1"/>
      <w:u w:val="single"/>
    </w:rPr>
  </w:style>
  <w:style w:type="character" w:styleId="style38">
    <w:name w:val="footnote reference"/>
    <w:next w:val="style38"/>
    <w:uiPriority w:val="99"/>
    <w:rPr>
      <w:vertAlign w:val="superscript"/>
    </w:rPr>
  </w:style>
  <w:style w:type="paragraph" w:styleId="style29">
    <w:name w:val="footnote text"/>
    <w:next w:val="style29"/>
    <w:link w:val="style4104"/>
    <w:uiPriority w:val="99"/>
    <w:pPr>
      <w:spacing w:after="0" w:lineRule="auto" w:line="240"/>
    </w:pPr>
    <w:rPr>
      <w:sz w:val="20"/>
      <w:szCs w:val="20"/>
    </w:rPr>
  </w:style>
  <w:style w:type="character" w:customStyle="1" w:styleId="style4104">
    <w:name w:val="Footnote Text Char"/>
    <w:next w:val="style4104"/>
    <w:link w:val="style29"/>
    <w:uiPriority w:val="99"/>
    <w:rPr>
      <w:sz w:val="20"/>
      <w:szCs w:val="20"/>
    </w:rPr>
  </w:style>
  <w:style w:type="character" w:styleId="style42">
    <w:name w:val="endnote reference"/>
    <w:next w:val="style42"/>
    <w:uiPriority w:val="99"/>
    <w:rPr>
      <w:vertAlign w:val="superscript"/>
    </w:rPr>
  </w:style>
  <w:style w:type="paragraph" w:styleId="style43">
    <w:name w:val="endnote text"/>
    <w:next w:val="style43"/>
    <w:link w:val="style4105"/>
    <w:uiPriority w:val="99"/>
    <w:pPr>
      <w:spacing w:after="0" w:lineRule="auto" w:line="240"/>
    </w:pPr>
    <w:rPr>
      <w:sz w:val="20"/>
      <w:szCs w:val="20"/>
    </w:rPr>
  </w:style>
  <w:style w:type="character" w:customStyle="1" w:styleId="style4105">
    <w:name w:val="Endnote Text Char"/>
    <w:next w:val="style4105"/>
    <w:link w:val="style43"/>
    <w:uiPriority w:val="99"/>
    <w:rPr>
      <w:sz w:val="20"/>
      <w:szCs w:val="20"/>
    </w:rPr>
  </w:style>
  <w:style w:type="paragraph" w:default="1" w:styleId="style0">
    <w:name w:val="Normal"/>
    <w:pPr>
      <w:jc w:val="both"/>
    </w:pPr>
    <w:rPr>
      <w:sz w:val="21"/>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2088</Words>
  <Characters>11565</Characters>
  <Application>WPS Office</Application>
  <Paragraphs>641</Paragraphs>
  <CharactersWithSpaces>13274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2026-05-16T07:04:00Z</dcterms:created>
  <dc:creator>Un-named</dc:creator>
  <lastModifiedBy>2409BRN2CA</lastModifiedBy>
  <dcterms:modified xsi:type="dcterms:W3CDTF">2026-05-16T07:04:00Z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f02ef5f2d398413b988678dfd7222abd</vt:lpwstr>
  </property>
</Properties>
</file>